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04B997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025624">
        <w:rPr>
          <w:bCs/>
          <w:noProof w:val="0"/>
          <w:sz w:val="24"/>
          <w:szCs w:val="24"/>
        </w:rPr>
        <w:t>09419</w:t>
      </w:r>
    </w:p>
    <w:p w14:paraId="11776FA6" w14:textId="7FC90D75"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829308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25624">
        <w:rPr>
          <w:rFonts w:cs="Arial"/>
          <w:b/>
          <w:bCs/>
          <w:sz w:val="24"/>
          <w:lang w:eastAsia="ja-JP"/>
        </w:rPr>
        <w:t>6.10.1</w:t>
      </w:r>
    </w:p>
    <w:p w14:paraId="73188B46" w14:textId="5857B0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4D1566">
        <w:rPr>
          <w:rFonts w:ascii="Arial" w:hAnsi="Arial" w:cs="Arial"/>
          <w:b/>
          <w:bCs/>
          <w:sz w:val="24"/>
        </w:rPr>
        <w:t>, Ericsson</w:t>
      </w:r>
    </w:p>
    <w:p w14:paraId="0FA3EF00" w14:textId="32EB26D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32AD">
        <w:rPr>
          <w:rFonts w:ascii="Arial" w:hAnsi="Arial" w:cs="Arial"/>
          <w:b/>
          <w:bCs/>
          <w:sz w:val="24"/>
        </w:rPr>
        <w:t>User consent principles</w:t>
      </w:r>
    </w:p>
    <w:p w14:paraId="1F147C23" w14:textId="34BA6C5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25AF">
        <w:rPr>
          <w:rFonts w:ascii="Arial" w:hAnsi="Arial" w:cs="Arial"/>
          <w:b/>
          <w:bCs/>
          <w:sz w:val="24"/>
        </w:rPr>
        <w:t>NR_SON_MDT-Core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76B0058" w14:textId="41452F87" w:rsidR="00390EEA" w:rsidRDefault="00A225AF" w:rsidP="00390EEA">
      <w:r>
        <w:t xml:space="preserve">While finalizing Rel-16 </w:t>
      </w:r>
      <w:r w:rsidR="00390EEA">
        <w:t xml:space="preserve">NR </w:t>
      </w:r>
      <w:r>
        <w:t xml:space="preserve">MDT WI, RAN2 has sent </w:t>
      </w:r>
      <w:r w:rsidR="00390EEA">
        <w:t xml:space="preserve">LS </w:t>
      </w:r>
      <w:r>
        <w:t xml:space="preserve">to SA5 in [1]. </w:t>
      </w:r>
      <w:r w:rsidR="00390EEA">
        <w:t xml:space="preserve">The LS contained the sentence, that is conflicting with SA5 specification and requires further clarification:   </w:t>
      </w:r>
    </w:p>
    <w:p w14:paraId="4EF8FE6B" w14:textId="77777777" w:rsidR="00390EEA" w:rsidRPr="00390EEA" w:rsidRDefault="00390EEA" w:rsidP="00390EEA">
      <w:pPr>
        <w:pBdr>
          <w:top w:val="single" w:sz="4" w:space="1" w:color="auto"/>
          <w:left w:val="single" w:sz="4" w:space="4" w:color="auto"/>
          <w:bottom w:val="single" w:sz="4" w:space="1" w:color="auto"/>
          <w:right w:val="single" w:sz="4" w:space="4" w:color="auto"/>
        </w:pBdr>
        <w:rPr>
          <w:b/>
          <w:bCs/>
        </w:rPr>
      </w:pPr>
      <w:r w:rsidRPr="00390EEA">
        <w:t xml:space="preserve">In addition, RAN2 would like to inform SA5 that from RAN2 understanding, network shall not configure UE to report location information for SON/MDT purpose if network doesn’t get the user consent for this UE. </w:t>
      </w:r>
      <w:r w:rsidRPr="00390EEA">
        <w:rPr>
          <w:b/>
          <w:bCs/>
        </w:rPr>
        <w:t>The user consent requirement should also be applied to RLF reporting, CEF reporting and SCG failure case.</w:t>
      </w:r>
    </w:p>
    <w:p w14:paraId="61954EF6" w14:textId="52D80CF4" w:rsidR="00390EEA" w:rsidRPr="00390EEA" w:rsidRDefault="00390EEA" w:rsidP="00390EEA">
      <w:pPr>
        <w:rPr>
          <w:b/>
          <w:bCs/>
        </w:rPr>
      </w:pPr>
      <w:r>
        <w:t>In this contribution, we analyse background for the currently standardize</w:t>
      </w:r>
      <w:r w:rsidR="00CF38F5">
        <w:t>d</w:t>
      </w:r>
      <w:r>
        <w:t xml:space="preserve"> user consent requirements and clarify that NR MDT framework intends to follow LTE MDT framework worked out for the user consent.</w:t>
      </w:r>
    </w:p>
    <w:p w14:paraId="2BBFF540" w14:textId="22F83AAF" w:rsidR="00A209D6" w:rsidRPr="006E13D1" w:rsidRDefault="00A209D6" w:rsidP="00A209D6">
      <w:pPr>
        <w:pStyle w:val="Heading1"/>
      </w:pPr>
      <w:r w:rsidRPr="006E13D1">
        <w:t>2</w:t>
      </w:r>
      <w:r w:rsidRPr="006E13D1">
        <w:tab/>
      </w:r>
      <w:r w:rsidR="00A225AF">
        <w:t>Discussion</w:t>
      </w:r>
    </w:p>
    <w:p w14:paraId="29F7014F" w14:textId="77777777" w:rsidR="00390EEA" w:rsidRDefault="00A225AF" w:rsidP="00390EEA">
      <w:pPr>
        <w:jc w:val="both"/>
        <w:rPr>
          <w:rFonts w:eastAsia="SimSun"/>
          <w:lang w:val="en-US" w:eastAsia="zh-CN"/>
        </w:rPr>
      </w:pPr>
      <w:r>
        <w:t xml:space="preserve">User consent handling has been </w:t>
      </w:r>
      <w:r w:rsidR="00390EEA">
        <w:t xml:space="preserve">carefully </w:t>
      </w:r>
      <w:r>
        <w:t xml:space="preserve">developed for the first MDT </w:t>
      </w:r>
      <w:r w:rsidR="00464A9B">
        <w:t xml:space="preserve">version in Rel-10. </w:t>
      </w:r>
      <w:r w:rsidR="00390EEA">
        <w:t>T</w:t>
      </w:r>
      <w:r w:rsidR="00390EEA">
        <w:rPr>
          <w:rFonts w:eastAsia="SimSun"/>
          <w:lang w:val="en-US" w:eastAsia="zh-CN"/>
        </w:rPr>
        <w:t xml:space="preserve">he aspect of security concerns and legal activation of MDT were heavily discussed among: </w:t>
      </w:r>
    </w:p>
    <w:p w14:paraId="0F820F94" w14:textId="3E91ABCB" w:rsidR="00390EEA" w:rsidRPr="00390EEA" w:rsidRDefault="00390EEA" w:rsidP="00390EEA">
      <w:pPr>
        <w:pStyle w:val="ListParagraph"/>
        <w:numPr>
          <w:ilvl w:val="0"/>
          <w:numId w:val="10"/>
        </w:numPr>
        <w:rPr>
          <w:rFonts w:eastAsia="SimSun"/>
          <w:lang w:val="en-US" w:eastAsia="zh-CN"/>
        </w:rPr>
      </w:pPr>
      <w:r w:rsidRPr="00390EEA">
        <w:rPr>
          <w:rFonts w:eastAsia="SimSun"/>
          <w:lang w:val="en-US" w:eastAsia="zh-CN"/>
        </w:rPr>
        <w:t>RAN groups: RAN2, RAN3,</w:t>
      </w:r>
      <w:r>
        <w:rPr>
          <w:rFonts w:eastAsia="SimSun"/>
          <w:lang w:val="en-US" w:eastAsia="zh-CN"/>
        </w:rPr>
        <w:t xml:space="preserve"> </w:t>
      </w:r>
      <w:r w:rsidRPr="00390EEA">
        <w:rPr>
          <w:rFonts w:eastAsia="SimSun"/>
          <w:lang w:val="en-US" w:eastAsia="zh-CN"/>
        </w:rPr>
        <w:t>RAN</w:t>
      </w:r>
      <w:r>
        <w:rPr>
          <w:rFonts w:eastAsia="SimSun"/>
          <w:lang w:val="en-US" w:eastAsia="zh-CN"/>
        </w:rPr>
        <w:t xml:space="preserve">, </w:t>
      </w:r>
      <w:r w:rsidRPr="00390EEA">
        <w:rPr>
          <w:rFonts w:eastAsia="SimSun"/>
          <w:lang w:val="en-US" w:eastAsia="zh-CN"/>
        </w:rPr>
        <w:t xml:space="preserve">and </w:t>
      </w:r>
    </w:p>
    <w:p w14:paraId="20DD412D" w14:textId="75785FB6" w:rsidR="00390EEA" w:rsidRDefault="00390EEA" w:rsidP="00390EEA">
      <w:pPr>
        <w:pStyle w:val="ListParagraph"/>
        <w:numPr>
          <w:ilvl w:val="0"/>
          <w:numId w:val="10"/>
        </w:numPr>
        <w:rPr>
          <w:rFonts w:eastAsia="SimSun"/>
          <w:lang w:val="en-US" w:eastAsia="zh-CN"/>
        </w:rPr>
      </w:pPr>
      <w:r w:rsidRPr="00390EEA">
        <w:rPr>
          <w:rFonts w:eastAsia="SimSun"/>
          <w:lang w:val="en-US" w:eastAsia="zh-CN"/>
        </w:rPr>
        <w:t xml:space="preserve">SA groups: SA3, SA5, </w:t>
      </w:r>
      <w:r>
        <w:rPr>
          <w:rFonts w:eastAsia="SimSun"/>
          <w:lang w:val="en-US" w:eastAsia="zh-CN"/>
        </w:rPr>
        <w:t xml:space="preserve">SA2, </w:t>
      </w:r>
      <w:r w:rsidRPr="00390EEA">
        <w:rPr>
          <w:rFonts w:eastAsia="SimSun"/>
          <w:lang w:val="en-US" w:eastAsia="zh-CN"/>
        </w:rPr>
        <w:t>SA1 and SA</w:t>
      </w:r>
      <w:r>
        <w:rPr>
          <w:rFonts w:eastAsia="SimSun"/>
          <w:lang w:val="en-US" w:eastAsia="zh-CN"/>
        </w:rPr>
        <w:t xml:space="preserve">, and </w:t>
      </w:r>
    </w:p>
    <w:p w14:paraId="25FCC892" w14:textId="43A67DC2" w:rsidR="00390EEA" w:rsidRDefault="00390EEA" w:rsidP="00390EEA">
      <w:pPr>
        <w:pStyle w:val="ListParagraph"/>
        <w:numPr>
          <w:ilvl w:val="0"/>
          <w:numId w:val="10"/>
        </w:numPr>
        <w:rPr>
          <w:rFonts w:eastAsia="SimSun"/>
          <w:lang w:val="en-US" w:eastAsia="zh-CN"/>
        </w:rPr>
      </w:pPr>
      <w:r>
        <w:rPr>
          <w:rFonts w:eastAsia="SimSun"/>
          <w:lang w:val="en-US" w:eastAsia="zh-CN"/>
        </w:rPr>
        <w:t>CT1 and CT4.</w:t>
      </w:r>
    </w:p>
    <w:p w14:paraId="62D61378" w14:textId="5D916AFB" w:rsidR="00390EEA" w:rsidRPr="00390EEA" w:rsidRDefault="00390EEA" w:rsidP="00390EEA">
      <w:pPr>
        <w:rPr>
          <w:rFonts w:eastAsia="SimSun"/>
          <w:lang w:val="en-US" w:eastAsia="zh-CN"/>
        </w:rPr>
      </w:pPr>
      <w:r w:rsidRPr="00390EEA">
        <w:rPr>
          <w:rFonts w:eastAsia="SimSun"/>
          <w:lang w:val="en-US" w:eastAsia="zh-CN"/>
        </w:rPr>
        <w:t>Several liaison statement</w:t>
      </w:r>
      <w:r>
        <w:rPr>
          <w:rFonts w:eastAsia="SimSun"/>
          <w:lang w:val="en-US" w:eastAsia="zh-CN"/>
        </w:rPr>
        <w:t>s</w:t>
      </w:r>
      <w:r w:rsidRPr="00390EEA">
        <w:rPr>
          <w:rFonts w:eastAsia="SimSun"/>
          <w:lang w:val="en-US" w:eastAsia="zh-CN"/>
        </w:rPr>
        <w:t xml:space="preserve"> were exchanged [3][4][5][6].</w:t>
      </w:r>
    </w:p>
    <w:p w14:paraId="57E686B6" w14:textId="67B1C8A8" w:rsidR="00390EEA" w:rsidRDefault="00CF38F5" w:rsidP="00390EEA">
      <w:pPr>
        <w:jc w:val="both"/>
      </w:pPr>
      <w:r>
        <w:t>Given</w:t>
      </w:r>
      <w:r w:rsidR="00390EEA">
        <w:t xml:space="preserve"> the SA3 recommendations in [6], for the way of applying user consent, all involved working groups took into account privacy and security aspects on the user involvement for the MDT. </w:t>
      </w:r>
    </w:p>
    <w:p w14:paraId="1ECA80E5" w14:textId="520CC293" w:rsidR="00390EEA" w:rsidRDefault="00390EEA" w:rsidP="00390EEA">
      <w:pPr>
        <w:pStyle w:val="Heading2"/>
      </w:pPr>
      <w:r>
        <w:t>2.1</w:t>
      </w:r>
      <w:r>
        <w:tab/>
        <w:t>RAN2 support for user consent since Rel-10</w:t>
      </w:r>
    </w:p>
    <w:p w14:paraId="45E17CB2" w14:textId="48E9C024" w:rsidR="00390EEA" w:rsidRDefault="00390EEA" w:rsidP="00A209D6">
      <w:r>
        <w:t>The RAN2 LS on common understanding reached out on user consent in Rel-10, has been sent in [6]:</w:t>
      </w:r>
    </w:p>
    <w:tbl>
      <w:tblPr>
        <w:tblW w:w="9930"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0"/>
      </w:tblGrid>
      <w:tr w:rsidR="00390EEA" w14:paraId="0BA7FEE3" w14:textId="77777777" w:rsidTr="00390EEA">
        <w:trPr>
          <w:trHeight w:val="3690"/>
        </w:trPr>
        <w:tc>
          <w:tcPr>
            <w:tcW w:w="9930" w:type="dxa"/>
          </w:tcPr>
          <w:p w14:paraId="02C94FB7" w14:textId="77777777" w:rsidR="00390EEA" w:rsidRDefault="00390EEA" w:rsidP="00390EEA">
            <w:pPr>
              <w:pStyle w:val="Header"/>
              <w:widowControl/>
              <w:numPr>
                <w:ilvl w:val="0"/>
                <w:numId w:val="11"/>
              </w:numPr>
              <w:tabs>
                <w:tab w:val="left" w:pos="720"/>
                <w:tab w:val="center" w:pos="4153"/>
                <w:tab w:val="right" w:pos="8306"/>
              </w:tabs>
              <w:overflowPunct/>
              <w:autoSpaceDE/>
              <w:autoSpaceDN/>
              <w:adjustRightInd/>
              <w:ind w:left="443"/>
              <w:textAlignment w:val="auto"/>
              <w:rPr>
                <w:rFonts w:cs="Arial"/>
                <w:color w:val="000000"/>
              </w:rPr>
            </w:pPr>
            <w:r>
              <w:rPr>
                <w:rFonts w:cs="Arial"/>
                <w:b w:val="0"/>
                <w:color w:val="000000"/>
              </w:rPr>
              <w:t>For the case when there is prior consent for a UE as part of user subscription profile:</w:t>
            </w:r>
          </w:p>
          <w:p w14:paraId="0003BF54" w14:textId="77777777" w:rsidR="00390EEA" w:rsidRDefault="00390EEA" w:rsidP="00390EEA">
            <w:pPr>
              <w:pStyle w:val="Header"/>
              <w:tabs>
                <w:tab w:val="left" w:pos="720"/>
              </w:tabs>
              <w:ind w:left="443"/>
              <w:rPr>
                <w:rFonts w:cs="Arial"/>
                <w:b w:val="0"/>
                <w:color w:val="000000"/>
              </w:rPr>
            </w:pPr>
          </w:p>
          <w:p w14:paraId="2ACFB490" w14:textId="77777777" w:rsidR="00390EEA" w:rsidRDefault="00390EEA" w:rsidP="00390EEA">
            <w:pPr>
              <w:pStyle w:val="Header"/>
              <w:tabs>
                <w:tab w:val="left" w:pos="720"/>
              </w:tabs>
              <w:ind w:left="443"/>
              <w:rPr>
                <w:rFonts w:cs="Arial"/>
                <w:color w:val="000000"/>
              </w:rPr>
            </w:pPr>
            <w:r w:rsidRPr="00390EEA">
              <w:rPr>
                <w:rFonts w:cs="Arial"/>
                <w:b w:val="0"/>
                <w:bCs/>
                <w:color w:val="000000"/>
              </w:rPr>
              <w:t xml:space="preserve">The following are RAN2 </w:t>
            </w:r>
            <w:r w:rsidRPr="00390EEA">
              <w:rPr>
                <w:rFonts w:cs="Arial"/>
                <w:b w:val="0"/>
                <w:bCs/>
                <w:i/>
                <w:color w:val="000000"/>
              </w:rPr>
              <w:t>understanding</w:t>
            </w:r>
            <w:r>
              <w:rPr>
                <w:rFonts w:cs="Arial"/>
                <w:b w:val="0"/>
                <w:i/>
                <w:color w:val="000000"/>
              </w:rPr>
              <w:t xml:space="preserve"> and assumption</w:t>
            </w:r>
            <w:r>
              <w:rPr>
                <w:rFonts w:cs="Arial"/>
                <w:color w:val="000000"/>
              </w:rPr>
              <w:t>:</w:t>
            </w:r>
          </w:p>
          <w:p w14:paraId="7D4EC7E1" w14:textId="77777777" w:rsidR="00390EEA" w:rsidRPr="00390EEA" w:rsidRDefault="00390EEA" w:rsidP="00390EEA">
            <w:pPr>
              <w:pStyle w:val="Header"/>
              <w:widowControl/>
              <w:numPr>
                <w:ilvl w:val="0"/>
                <w:numId w:val="12"/>
              </w:numPr>
              <w:tabs>
                <w:tab w:val="left" w:pos="720"/>
                <w:tab w:val="center" w:pos="4153"/>
                <w:tab w:val="right" w:pos="8306"/>
              </w:tabs>
              <w:overflowPunct/>
              <w:autoSpaceDE/>
              <w:autoSpaceDN/>
              <w:adjustRightInd/>
              <w:ind w:left="803"/>
              <w:textAlignment w:val="auto"/>
              <w:rPr>
                <w:rFonts w:cs="Arial"/>
                <w:b w:val="0"/>
                <w:bCs/>
                <w:color w:val="000000"/>
              </w:rPr>
            </w:pPr>
            <w:r w:rsidRPr="00390EEA">
              <w:rPr>
                <w:rFonts w:cs="Arial"/>
                <w:b w:val="0"/>
                <w:bCs/>
                <w:color w:val="000000"/>
              </w:rPr>
              <w:t>For signaling based MDT, the OAM and/ or core network nodes will take into account user consent status when performing UE selection for MDT before contacting RAN node.</w:t>
            </w:r>
          </w:p>
          <w:p w14:paraId="5256EE69" w14:textId="77777777" w:rsidR="00390EEA" w:rsidRPr="00390EEA" w:rsidRDefault="00390EEA" w:rsidP="00390EEA">
            <w:pPr>
              <w:pStyle w:val="Header"/>
              <w:tabs>
                <w:tab w:val="left" w:pos="720"/>
              </w:tabs>
              <w:ind w:left="803"/>
              <w:rPr>
                <w:rFonts w:cs="Arial"/>
                <w:b w:val="0"/>
                <w:bCs/>
                <w:color w:val="000000"/>
              </w:rPr>
            </w:pPr>
          </w:p>
          <w:p w14:paraId="6C050CBB" w14:textId="77777777" w:rsidR="00390EEA" w:rsidRPr="00390EEA" w:rsidRDefault="00390EEA" w:rsidP="00390EEA">
            <w:pPr>
              <w:pStyle w:val="Header"/>
              <w:widowControl/>
              <w:numPr>
                <w:ilvl w:val="0"/>
                <w:numId w:val="12"/>
              </w:numPr>
              <w:tabs>
                <w:tab w:val="left" w:pos="720"/>
                <w:tab w:val="center" w:pos="4153"/>
                <w:tab w:val="right" w:pos="8306"/>
              </w:tabs>
              <w:overflowPunct/>
              <w:autoSpaceDE/>
              <w:autoSpaceDN/>
              <w:adjustRightInd/>
              <w:ind w:left="803"/>
              <w:textAlignment w:val="auto"/>
              <w:rPr>
                <w:rFonts w:cs="Arial"/>
                <w:b w:val="0"/>
                <w:bCs/>
                <w:color w:val="000000"/>
              </w:rPr>
            </w:pPr>
            <w:r w:rsidRPr="00390EEA">
              <w:rPr>
                <w:rFonts w:cs="Arial"/>
                <w:b w:val="0"/>
                <w:bCs/>
                <w:color w:val="000000"/>
              </w:rPr>
              <w:t xml:space="preserve">For management based MDT, since the eNB/RNC is the node who performs UE selection, the information of user consent status needs to be known by and informed to the eNB/RNC. </w:t>
            </w:r>
          </w:p>
          <w:p w14:paraId="18C652EE" w14:textId="77777777" w:rsidR="00390EEA" w:rsidRDefault="00390EEA" w:rsidP="00390EEA">
            <w:pPr>
              <w:pStyle w:val="Header"/>
              <w:widowControl/>
              <w:numPr>
                <w:ilvl w:val="0"/>
                <w:numId w:val="11"/>
              </w:numPr>
              <w:tabs>
                <w:tab w:val="left" w:pos="720"/>
                <w:tab w:val="center" w:pos="4153"/>
                <w:tab w:val="right" w:pos="8306"/>
              </w:tabs>
              <w:overflowPunct/>
              <w:autoSpaceDE/>
              <w:autoSpaceDN/>
              <w:adjustRightInd/>
              <w:ind w:left="443"/>
              <w:textAlignment w:val="auto"/>
              <w:rPr>
                <w:rFonts w:cs="Arial"/>
                <w:color w:val="000000"/>
              </w:rPr>
            </w:pPr>
            <w:r>
              <w:rPr>
                <w:rFonts w:cs="Arial"/>
                <w:b w:val="0"/>
                <w:color w:val="000000"/>
              </w:rPr>
              <w:t>For the case when the user revokes/ withdraws its consent for MDT:</w:t>
            </w:r>
          </w:p>
          <w:p w14:paraId="0B6824A5" w14:textId="77777777" w:rsidR="00390EEA" w:rsidRDefault="00390EEA" w:rsidP="00390EEA">
            <w:pPr>
              <w:pStyle w:val="ListParagraph"/>
              <w:ind w:left="443"/>
              <w:rPr>
                <w:rFonts w:ascii="Arial" w:hAnsi="Arial" w:cs="Arial"/>
                <w:color w:val="000000"/>
                <w:lang w:eastAsia="ja-JP"/>
              </w:rPr>
            </w:pPr>
          </w:p>
          <w:p w14:paraId="3552798D" w14:textId="77777777" w:rsidR="00390EEA" w:rsidRDefault="00390EEA" w:rsidP="00390EEA">
            <w:pPr>
              <w:pStyle w:val="ListParagraph"/>
              <w:ind w:left="443"/>
              <w:rPr>
                <w:rFonts w:ascii="Arial" w:hAnsi="Arial" w:cs="Arial"/>
                <w:color w:val="000000"/>
                <w:lang w:eastAsia="ja-JP"/>
              </w:rPr>
            </w:pPr>
            <w:r>
              <w:rPr>
                <w:rFonts w:ascii="Arial" w:hAnsi="Arial" w:cs="Arial"/>
                <w:color w:val="000000"/>
                <w:lang w:eastAsia="ja-JP"/>
              </w:rPr>
              <w:t xml:space="preserve">RAN2 </w:t>
            </w:r>
            <w:r>
              <w:rPr>
                <w:rFonts w:ascii="Arial" w:hAnsi="Arial" w:cs="Arial"/>
                <w:b/>
                <w:i/>
                <w:color w:val="000000"/>
                <w:lang w:eastAsia="ja-JP"/>
              </w:rPr>
              <w:t xml:space="preserve">agreed </w:t>
            </w:r>
            <w:r>
              <w:rPr>
                <w:rFonts w:ascii="Arial" w:hAnsi="Arial" w:cs="Arial"/>
                <w:color w:val="000000"/>
                <w:lang w:eastAsia="ja-JP"/>
              </w:rPr>
              <w:t>to adopt the following mechanisms:</w:t>
            </w:r>
          </w:p>
          <w:p w14:paraId="380DE51F" w14:textId="77777777" w:rsidR="00390EEA" w:rsidRDefault="00390EEA" w:rsidP="00390EEA">
            <w:pPr>
              <w:pStyle w:val="ListParagraph"/>
              <w:numPr>
                <w:ilvl w:val="0"/>
                <w:numId w:val="13"/>
              </w:numPr>
              <w:spacing w:after="0"/>
              <w:ind w:left="803"/>
              <w:contextualSpacing w:val="0"/>
              <w:rPr>
                <w:rFonts w:ascii="Arial" w:hAnsi="Arial" w:cs="Arial"/>
                <w:color w:val="000000"/>
                <w:lang w:eastAsia="ja-JP"/>
              </w:rPr>
            </w:pPr>
            <w:r>
              <w:rPr>
                <w:rFonts w:ascii="Arial" w:hAnsi="Arial" w:cs="Arial"/>
                <w:color w:val="000000"/>
                <w:lang w:eastAsia="ja-JP"/>
              </w:rPr>
              <w:t xml:space="preserve">User consent revocation shall be performed </w:t>
            </w:r>
            <w:r w:rsidRPr="00390EEA">
              <w:rPr>
                <w:rFonts w:ascii="Arial" w:hAnsi="Arial" w:cs="Arial"/>
                <w:b/>
                <w:bCs/>
                <w:color w:val="000000"/>
                <w:u w:val="single"/>
                <w:lang w:eastAsia="ja-JP"/>
              </w:rPr>
              <w:t>in upper layer</w:t>
            </w:r>
            <w:r w:rsidRPr="00390EEA">
              <w:rPr>
                <w:rFonts w:ascii="Arial" w:hAnsi="Arial" w:cs="Arial"/>
                <w:b/>
                <w:bCs/>
                <w:color w:val="000000"/>
                <w:lang w:eastAsia="ja-JP"/>
              </w:rPr>
              <w:t>,</w:t>
            </w:r>
            <w:r>
              <w:rPr>
                <w:rFonts w:ascii="Arial" w:hAnsi="Arial" w:cs="Arial"/>
                <w:color w:val="000000"/>
                <w:lang w:eastAsia="ja-JP"/>
              </w:rPr>
              <w:t xml:space="preserve"> e.g., using web portal. In this mechanism interworking between upper layer and AS layer is not needed.</w:t>
            </w:r>
          </w:p>
          <w:p w14:paraId="58D2021D" w14:textId="2AC97567" w:rsidR="00390EEA" w:rsidRPr="00390EEA" w:rsidRDefault="00390EEA" w:rsidP="00390EEA">
            <w:pPr>
              <w:pStyle w:val="Header"/>
              <w:numPr>
                <w:ilvl w:val="0"/>
                <w:numId w:val="11"/>
              </w:numPr>
              <w:tabs>
                <w:tab w:val="left" w:pos="720"/>
                <w:tab w:val="center" w:pos="4153"/>
                <w:tab w:val="right" w:pos="8306"/>
              </w:tabs>
              <w:ind w:left="443"/>
              <w:rPr>
                <w:rFonts w:cs="Arial"/>
                <w:b w:val="0"/>
                <w:bCs/>
                <w:color w:val="000000"/>
              </w:rPr>
            </w:pPr>
            <w:r w:rsidRPr="00390EEA">
              <w:rPr>
                <w:rFonts w:cs="Arial"/>
                <w:b w:val="0"/>
                <w:bCs/>
                <w:color w:val="000000"/>
              </w:rPr>
              <w:t>In addition to that, RAN2 will also specify that logged MDT configuration and measurement log “shall” be released/ deleted whenever UE is switched off or detached.</w:t>
            </w:r>
          </w:p>
        </w:tc>
      </w:tr>
    </w:tbl>
    <w:p w14:paraId="2A2F82A7" w14:textId="1CF801D8" w:rsidR="00390EEA" w:rsidRDefault="00390EEA" w:rsidP="00390EEA">
      <w:pPr>
        <w:jc w:val="both"/>
      </w:pPr>
      <w:r>
        <w:lastRenderedPageBreak/>
        <w:t xml:space="preserve">Consequently, RAN2 introduced the requirement into TS37.320, in section 5.1.3. However, the core content of the standard for the user consent procedures is specified in SA5 specification: TS32.422, which is also key reference in the section on MDT user consent, in the abovementioned stage 2 TS37.320. </w:t>
      </w:r>
    </w:p>
    <w:p w14:paraId="253C4CD9" w14:textId="325615FC" w:rsidR="00390EEA" w:rsidRDefault="00390EEA" w:rsidP="00A209D6">
      <w:pPr>
        <w:rPr>
          <w:b/>
          <w:bCs/>
        </w:rPr>
      </w:pPr>
      <w:r w:rsidRPr="00390EEA">
        <w:rPr>
          <w:b/>
          <w:bCs/>
        </w:rPr>
        <w:t xml:space="preserve">Observation 1: User consent procedures are transparent to RRC. </w:t>
      </w:r>
    </w:p>
    <w:p w14:paraId="2F2E9E7D" w14:textId="77777777" w:rsidR="00390EEA" w:rsidRDefault="00390EEA" w:rsidP="00A209D6">
      <w:pPr>
        <w:rPr>
          <w:b/>
          <w:bCs/>
        </w:rPr>
      </w:pPr>
    </w:p>
    <w:p w14:paraId="22F5C55F" w14:textId="1D5E2203" w:rsidR="00390EEA" w:rsidRDefault="00390EEA" w:rsidP="00390EEA">
      <w:pPr>
        <w:pStyle w:val="Heading2"/>
      </w:pPr>
      <w:r>
        <w:t>2.2</w:t>
      </w:r>
      <w:r>
        <w:tab/>
        <w:t>SA5 support for user consent</w:t>
      </w:r>
    </w:p>
    <w:p w14:paraId="3C39F57C" w14:textId="716B8A97" w:rsidR="00390EEA" w:rsidRDefault="00390EEA" w:rsidP="00390EEA">
      <w:r w:rsidRPr="00390EEA">
        <w:t>Based on SA3 recommendations,</w:t>
      </w:r>
      <w:r w:rsidRPr="00390EEA">
        <w:rPr>
          <w:rFonts w:eastAsia="SimSun"/>
          <w:lang w:eastAsia="zh-CN"/>
        </w:rPr>
        <w:t xml:space="preserve"> there has been consensus that user consent is explicitly required </w:t>
      </w:r>
      <w:r w:rsidRPr="00390EEA">
        <w:t>for both:</w:t>
      </w:r>
      <w:r w:rsidRPr="00390EEA">
        <w:rPr>
          <w:rFonts w:eastAsia="SimSun"/>
          <w:lang w:eastAsia="zh-CN"/>
        </w:rPr>
        <w:t xml:space="preserve"> Signalling and Management based MDT, and a corresponding standard text specifying the procedure can be found in TS</w:t>
      </w:r>
      <w:r w:rsidRPr="00390EEA">
        <w:t xml:space="preserve"> 32.422, section 4.</w:t>
      </w:r>
      <w:r>
        <w:t>6.</w:t>
      </w:r>
    </w:p>
    <w:p w14:paraId="1C218C2B" w14:textId="7CF6630A" w:rsidR="00390EEA" w:rsidRDefault="00390EEA" w:rsidP="00390EEA">
      <w:r>
        <w:t>Example of delivering user consent information can be shown in following figure:</w:t>
      </w:r>
      <w:r>
        <w:object w:dxaOrig="10341" w:dyaOrig="11798" w14:anchorId="4E0B1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467.25pt" o:ole="">
            <v:imagedata r:id="rId12" o:title=""/>
          </v:shape>
          <o:OLEObject Type="Embed" ProgID="Visio.Drawing.11" ShapeID="_x0000_i1025" DrawAspect="Content" ObjectID="_1664890286" r:id="rId13"/>
        </w:object>
      </w:r>
    </w:p>
    <w:p w14:paraId="1748B629" w14:textId="77777777" w:rsidR="00390EEA" w:rsidRPr="00390EEA" w:rsidRDefault="00390EEA" w:rsidP="00390EEA">
      <w:pPr>
        <w:pStyle w:val="TH"/>
        <w:rPr>
          <w:b w:val="0"/>
          <w:bCs/>
        </w:rPr>
      </w:pPr>
    </w:p>
    <w:p w14:paraId="5B80F745" w14:textId="103E6B0F" w:rsidR="00390EEA" w:rsidRPr="00390EEA" w:rsidRDefault="00390EEA" w:rsidP="00390EEA">
      <w:pPr>
        <w:pStyle w:val="TF"/>
        <w:outlineLvl w:val="0"/>
        <w:rPr>
          <w:b w:val="0"/>
          <w:bCs/>
        </w:rPr>
      </w:pPr>
      <w:r w:rsidRPr="00390EEA">
        <w:rPr>
          <w:b w:val="0"/>
          <w:bCs/>
        </w:rPr>
        <w:t>Figure 1: Example for handling user consent (based on TS32.422, Figure 4.6.2.1)</w:t>
      </w:r>
    </w:p>
    <w:p w14:paraId="6807F2F8" w14:textId="77777777" w:rsidR="00390EEA" w:rsidRDefault="00390EEA" w:rsidP="00390EEA">
      <w:r>
        <w:lastRenderedPageBreak/>
        <w:t xml:space="preserve">SA5 introduced user consent with the requirement toward RAN node, that it can select the UE for MDT data collection, only if the consent for the user has been retrieved and included in the UE context. The MDT activation, concern two kinds of MDT jobs: </w:t>
      </w:r>
    </w:p>
    <w:p w14:paraId="11EA10DB" w14:textId="5F816427" w:rsidR="00390EEA" w:rsidRPr="00390EEA" w:rsidRDefault="00390EEA" w:rsidP="00390EEA">
      <w:pPr>
        <w:numPr>
          <w:ilvl w:val="0"/>
          <w:numId w:val="8"/>
        </w:numPr>
        <w:overflowPunct w:val="0"/>
        <w:autoSpaceDE w:val="0"/>
        <w:autoSpaceDN w:val="0"/>
        <w:adjustRightInd w:val="0"/>
        <w:rPr>
          <w:rFonts w:eastAsia="SimSun"/>
          <w:lang w:val="en-US" w:eastAsia="zh-CN"/>
        </w:rPr>
      </w:pPr>
      <w:r w:rsidRPr="00390EEA">
        <w:rPr>
          <w:rFonts w:eastAsia="SimSun"/>
          <w:lang w:val="en-US" w:eastAsia="zh-CN"/>
        </w:rPr>
        <w:t xml:space="preserve">Job type= Logged MDT and </w:t>
      </w:r>
    </w:p>
    <w:p w14:paraId="5A9BCF0D" w14:textId="3CCB6DE8" w:rsidR="00390EEA" w:rsidRPr="00390EEA" w:rsidRDefault="00390EEA" w:rsidP="00390EEA">
      <w:pPr>
        <w:numPr>
          <w:ilvl w:val="0"/>
          <w:numId w:val="8"/>
        </w:numPr>
        <w:overflowPunct w:val="0"/>
        <w:autoSpaceDE w:val="0"/>
        <w:autoSpaceDN w:val="0"/>
        <w:adjustRightInd w:val="0"/>
        <w:rPr>
          <w:rFonts w:eastAsia="SimSun"/>
          <w:lang w:val="en-US" w:eastAsia="zh-CN"/>
        </w:rPr>
      </w:pPr>
      <w:r w:rsidRPr="00390EEA">
        <w:rPr>
          <w:rFonts w:eastAsia="SimSun"/>
          <w:lang w:val="en-US" w:eastAsia="zh-CN"/>
        </w:rPr>
        <w:t>Job type = Immediate MDT.</w:t>
      </w:r>
    </w:p>
    <w:p w14:paraId="4A33BA89" w14:textId="2A6BCB1F" w:rsidR="00390EEA" w:rsidRDefault="00390EEA" w:rsidP="00390EEA">
      <w:pPr>
        <w:jc w:val="both"/>
        <w:rPr>
          <w:b/>
          <w:bCs/>
        </w:rPr>
      </w:pPr>
      <w:r w:rsidRPr="00390EEA">
        <w:rPr>
          <w:b/>
          <w:bCs/>
        </w:rPr>
        <w:t xml:space="preserve">Observation 2: </w:t>
      </w:r>
      <w:r>
        <w:rPr>
          <w:b/>
          <w:bCs/>
        </w:rPr>
        <w:t>According to TS32.422, u</w:t>
      </w:r>
      <w:r w:rsidRPr="00390EEA">
        <w:rPr>
          <w:b/>
          <w:bCs/>
        </w:rPr>
        <w:t xml:space="preserve">ser consent is strictly required for Logged MDT and Immediate MDT. The user consent determines user selection by RAN node. </w:t>
      </w:r>
    </w:p>
    <w:p w14:paraId="045C21EF" w14:textId="77777777" w:rsidR="00CF38F5" w:rsidRPr="00390EEA" w:rsidRDefault="00CF38F5" w:rsidP="00390EEA">
      <w:pPr>
        <w:jc w:val="both"/>
        <w:rPr>
          <w:b/>
          <w:bCs/>
        </w:rPr>
      </w:pPr>
    </w:p>
    <w:p w14:paraId="3D6C6C88" w14:textId="7E3FCE51" w:rsidR="00390EEA" w:rsidRDefault="00390EEA" w:rsidP="00390EEA">
      <w:pPr>
        <w:pStyle w:val="Heading2"/>
      </w:pPr>
      <w:r>
        <w:t>2.3</w:t>
      </w:r>
      <w:r>
        <w:tab/>
        <w:t>SA5 support for RLFreport and CEFreport</w:t>
      </w:r>
    </w:p>
    <w:p w14:paraId="35D1A06D" w14:textId="193E1975" w:rsidR="00390EEA" w:rsidRDefault="00390EEA" w:rsidP="00390EEA">
      <w:r>
        <w:rPr>
          <w:rFonts w:eastAsia="SimSun"/>
          <w:lang w:eastAsia="zh-CN"/>
        </w:rPr>
        <w:t>A</w:t>
      </w:r>
      <w:r w:rsidRPr="00390EEA">
        <w:rPr>
          <w:rFonts w:eastAsia="SimSun"/>
          <w:lang w:eastAsia="zh-CN"/>
        </w:rPr>
        <w:t xml:space="preserve"> standard text specifying the </w:t>
      </w:r>
      <w:r>
        <w:rPr>
          <w:rFonts w:eastAsia="SimSun"/>
          <w:lang w:eastAsia="zh-CN"/>
        </w:rPr>
        <w:t xml:space="preserve">network </w:t>
      </w:r>
      <w:r w:rsidRPr="00390EEA">
        <w:rPr>
          <w:rFonts w:eastAsia="SimSun"/>
          <w:lang w:eastAsia="zh-CN"/>
        </w:rPr>
        <w:t>procedure</w:t>
      </w:r>
      <w:r>
        <w:rPr>
          <w:rFonts w:eastAsia="SimSun"/>
          <w:lang w:eastAsia="zh-CN"/>
        </w:rPr>
        <w:t>s to collect RLFreports and CEFreports</w:t>
      </w:r>
      <w:r w:rsidRPr="00390EEA">
        <w:rPr>
          <w:rFonts w:eastAsia="SimSun"/>
          <w:lang w:eastAsia="zh-CN"/>
        </w:rPr>
        <w:t xml:space="preserve"> can be found in TS</w:t>
      </w:r>
      <w:r w:rsidRPr="00390EEA">
        <w:t xml:space="preserve"> 32.422, section 4.</w:t>
      </w:r>
      <w:r>
        <w:t>8.</w:t>
      </w:r>
    </w:p>
    <w:p w14:paraId="3AEFBD9E" w14:textId="3EB2E8BB" w:rsidR="00390EEA" w:rsidRDefault="00390EEA" w:rsidP="00390EEA">
      <w:pPr>
        <w:pStyle w:val="Header"/>
        <w:rPr>
          <w:rFonts w:ascii="Times New Roman" w:eastAsia="SimSun" w:hAnsi="Times New Roman"/>
          <w:b w:val="0"/>
          <w:bCs/>
          <w:sz w:val="20"/>
          <w:lang w:eastAsia="zh-CN"/>
        </w:rPr>
      </w:pPr>
      <w:r>
        <w:rPr>
          <w:rFonts w:ascii="Times New Roman" w:eastAsia="SimSun" w:hAnsi="Times New Roman"/>
          <w:b w:val="0"/>
          <w:bCs/>
          <w:sz w:val="20"/>
          <w:lang w:eastAsia="zh-CN"/>
        </w:rPr>
        <w:t>The procedures, distinguish another two kinds of MDT jobs:</w:t>
      </w:r>
    </w:p>
    <w:p w14:paraId="06D98AF3" w14:textId="776711CC" w:rsidR="00390EEA" w:rsidRPr="00390EEA" w:rsidRDefault="00390EEA" w:rsidP="00390EEA">
      <w:pPr>
        <w:numPr>
          <w:ilvl w:val="0"/>
          <w:numId w:val="8"/>
        </w:numPr>
        <w:overflowPunct w:val="0"/>
        <w:autoSpaceDE w:val="0"/>
        <w:autoSpaceDN w:val="0"/>
        <w:adjustRightInd w:val="0"/>
        <w:rPr>
          <w:rFonts w:eastAsia="SimSun"/>
          <w:lang w:val="en-US" w:eastAsia="zh-CN"/>
        </w:rPr>
      </w:pPr>
      <w:r w:rsidRPr="00390EEA">
        <w:rPr>
          <w:rFonts w:eastAsia="SimSun"/>
          <w:lang w:val="en-US" w:eastAsia="zh-CN"/>
        </w:rPr>
        <w:t xml:space="preserve">Job type= RLF reporting only, and </w:t>
      </w:r>
    </w:p>
    <w:p w14:paraId="62B45076" w14:textId="540BDAA6" w:rsidR="00390EEA" w:rsidRPr="00390EEA" w:rsidRDefault="00390EEA" w:rsidP="00390EEA">
      <w:pPr>
        <w:numPr>
          <w:ilvl w:val="0"/>
          <w:numId w:val="8"/>
        </w:numPr>
        <w:overflowPunct w:val="0"/>
        <w:autoSpaceDE w:val="0"/>
        <w:autoSpaceDN w:val="0"/>
        <w:adjustRightInd w:val="0"/>
        <w:rPr>
          <w:rFonts w:eastAsia="SimSun"/>
          <w:lang w:val="en-US" w:eastAsia="zh-CN"/>
        </w:rPr>
      </w:pPr>
      <w:r w:rsidRPr="00390EEA">
        <w:rPr>
          <w:rFonts w:eastAsia="SimSun"/>
          <w:lang w:val="en-US" w:eastAsia="zh-CN"/>
        </w:rPr>
        <w:t>Job type = RCEF reporting only.</w:t>
      </w:r>
    </w:p>
    <w:p w14:paraId="1CB1D526" w14:textId="3D86292F" w:rsidR="00390EEA" w:rsidRDefault="00390EEA" w:rsidP="00390EEA">
      <w:pPr>
        <w:pStyle w:val="Header"/>
        <w:rPr>
          <w:rFonts w:ascii="Times New Roman" w:eastAsia="SimSun" w:hAnsi="Times New Roman"/>
          <w:b w:val="0"/>
          <w:bCs/>
          <w:sz w:val="20"/>
          <w:lang w:eastAsia="zh-CN"/>
        </w:rPr>
      </w:pPr>
      <w:r>
        <w:rPr>
          <w:rFonts w:ascii="Times New Roman" w:eastAsia="SimSun" w:hAnsi="Times New Roman"/>
          <w:b w:val="0"/>
          <w:bCs/>
          <w:sz w:val="20"/>
          <w:lang w:eastAsia="zh-CN"/>
        </w:rPr>
        <w:t xml:space="preserve">The network procedures, for these two types of reporting do not require user consent. </w:t>
      </w:r>
    </w:p>
    <w:p w14:paraId="5EE6CFC2" w14:textId="77777777" w:rsidR="00390EEA" w:rsidRDefault="00390EEA" w:rsidP="00390EEA">
      <w:pPr>
        <w:pStyle w:val="Header"/>
        <w:rPr>
          <w:rFonts w:ascii="Times New Roman" w:eastAsia="SimSun" w:hAnsi="Times New Roman"/>
          <w:b w:val="0"/>
          <w:bCs/>
          <w:sz w:val="20"/>
          <w:lang w:eastAsia="zh-CN"/>
        </w:rPr>
      </w:pPr>
    </w:p>
    <w:p w14:paraId="64B0F0D9" w14:textId="7A0D15CB" w:rsidR="00390EEA" w:rsidRDefault="00390EEA" w:rsidP="00390EEA">
      <w:pPr>
        <w:rPr>
          <w:rFonts w:eastAsia="SimSun"/>
          <w:b/>
          <w:bCs/>
          <w:lang w:eastAsia="zh-CN"/>
        </w:rPr>
      </w:pPr>
      <w:r w:rsidRPr="00390EEA">
        <w:rPr>
          <w:b/>
          <w:bCs/>
        </w:rPr>
        <w:t xml:space="preserve">Observation </w:t>
      </w:r>
      <w:r>
        <w:rPr>
          <w:b/>
          <w:bCs/>
        </w:rPr>
        <w:t>3</w:t>
      </w:r>
      <w:r w:rsidRPr="00390EEA">
        <w:rPr>
          <w:b/>
          <w:bCs/>
        </w:rPr>
        <w:t xml:space="preserve">: </w:t>
      </w:r>
      <w:r>
        <w:rPr>
          <w:b/>
          <w:bCs/>
        </w:rPr>
        <w:t>According to TS32.422, u</w:t>
      </w:r>
      <w:r w:rsidRPr="00390EEA">
        <w:rPr>
          <w:b/>
          <w:bCs/>
        </w:rPr>
        <w:t xml:space="preserve">ser consent </w:t>
      </w:r>
      <w:r>
        <w:rPr>
          <w:b/>
          <w:bCs/>
        </w:rPr>
        <w:t>has not been required for RLFreport and CEFreport.</w:t>
      </w:r>
    </w:p>
    <w:p w14:paraId="2D83A0CE" w14:textId="23F5B477" w:rsidR="00390EEA" w:rsidRDefault="00390EEA" w:rsidP="00390EEA">
      <w:pPr>
        <w:pStyle w:val="Header"/>
        <w:rPr>
          <w:rFonts w:ascii="Times New Roman" w:eastAsia="SimSun" w:hAnsi="Times New Roman"/>
          <w:b w:val="0"/>
          <w:bCs/>
          <w:sz w:val="20"/>
          <w:lang w:eastAsia="zh-CN"/>
        </w:rPr>
      </w:pPr>
      <w:r>
        <w:rPr>
          <w:rFonts w:ascii="Times New Roman" w:eastAsia="SimSun" w:hAnsi="Times New Roman"/>
          <w:b w:val="0"/>
          <w:bCs/>
          <w:sz w:val="20"/>
          <w:lang w:eastAsia="zh-CN"/>
        </w:rPr>
        <w:t xml:space="preserve">In our understanding, there are two main reasons to collect the data in a different way </w:t>
      </w:r>
      <w:r w:rsidR="00CF38F5">
        <w:rPr>
          <w:rFonts w:ascii="Times New Roman" w:eastAsia="SimSun" w:hAnsi="Times New Roman"/>
          <w:b w:val="0"/>
          <w:bCs/>
          <w:sz w:val="20"/>
          <w:lang w:eastAsia="zh-CN"/>
        </w:rPr>
        <w:t>for RLF and CEF:</w:t>
      </w:r>
    </w:p>
    <w:p w14:paraId="0B2D7546" w14:textId="24190356" w:rsidR="00390EEA" w:rsidRPr="00390EEA" w:rsidRDefault="00390EEA" w:rsidP="00390EEA">
      <w:pPr>
        <w:numPr>
          <w:ilvl w:val="0"/>
          <w:numId w:val="8"/>
        </w:numPr>
        <w:overflowPunct w:val="0"/>
        <w:autoSpaceDE w:val="0"/>
        <w:autoSpaceDN w:val="0"/>
        <w:adjustRightInd w:val="0"/>
        <w:rPr>
          <w:rFonts w:eastAsia="SimSun"/>
          <w:lang w:val="en-US" w:eastAsia="zh-CN"/>
        </w:rPr>
      </w:pPr>
      <w:r w:rsidRPr="00390EEA">
        <w:rPr>
          <w:rFonts w:eastAsia="SimSun"/>
          <w:lang w:val="en-US" w:eastAsia="zh-CN"/>
        </w:rPr>
        <w:t>RLFreport and CEFreport are not configured to the UE</w:t>
      </w:r>
      <w:r>
        <w:rPr>
          <w:rFonts w:eastAsia="SimSun"/>
          <w:lang w:val="en-US" w:eastAsia="zh-CN"/>
        </w:rPr>
        <w:t>,</w:t>
      </w:r>
      <w:r w:rsidR="00CF38F5">
        <w:rPr>
          <w:rFonts w:eastAsia="SimSun"/>
          <w:lang w:val="en-US" w:eastAsia="zh-CN"/>
        </w:rPr>
        <w:t xml:space="preserve"> </w:t>
      </w:r>
      <w:r w:rsidRPr="00390EEA">
        <w:rPr>
          <w:rFonts w:eastAsia="SimSun"/>
          <w:lang w:val="en-US" w:eastAsia="zh-CN"/>
        </w:rPr>
        <w:t xml:space="preserve">thus there is no need to confront user selection with </w:t>
      </w:r>
      <w:r>
        <w:rPr>
          <w:rFonts w:eastAsia="SimSun"/>
          <w:lang w:val="en-US" w:eastAsia="zh-CN"/>
        </w:rPr>
        <w:t xml:space="preserve">stored user consent, i.e. </w:t>
      </w:r>
      <w:r w:rsidRPr="00390EEA">
        <w:rPr>
          <w:rFonts w:eastAsia="SimSun"/>
          <w:lang w:val="en-US" w:eastAsia="zh-CN"/>
        </w:rPr>
        <w:t>there is no MDT activation step</w:t>
      </w:r>
      <w:r>
        <w:rPr>
          <w:rFonts w:eastAsia="SimSun"/>
          <w:lang w:val="en-US" w:eastAsia="zh-CN"/>
        </w:rPr>
        <w:t xml:space="preserve"> nor RRC pre-configuration.</w:t>
      </w:r>
    </w:p>
    <w:p w14:paraId="75723B8F" w14:textId="6EA1C65E" w:rsidR="00390EEA" w:rsidRDefault="00390EEA" w:rsidP="00390EEA">
      <w:pPr>
        <w:numPr>
          <w:ilvl w:val="0"/>
          <w:numId w:val="8"/>
        </w:numPr>
        <w:overflowPunct w:val="0"/>
        <w:autoSpaceDE w:val="0"/>
        <w:autoSpaceDN w:val="0"/>
        <w:adjustRightInd w:val="0"/>
        <w:rPr>
          <w:rFonts w:eastAsia="SimSun"/>
          <w:lang w:val="en-US" w:eastAsia="zh-CN"/>
        </w:rPr>
      </w:pPr>
      <w:r w:rsidRPr="00390EEA">
        <w:rPr>
          <w:rFonts w:eastAsia="SimSun"/>
          <w:lang w:val="en-US" w:eastAsia="zh-CN"/>
        </w:rPr>
        <w:t>RLFreport and CEFreport are one-shot kind of reports, without risking continued/logged measurements taken by the user</w:t>
      </w:r>
    </w:p>
    <w:p w14:paraId="198C72A6" w14:textId="77777777" w:rsidR="00390EEA" w:rsidRPr="00390EEA" w:rsidRDefault="00390EEA" w:rsidP="00390EEA">
      <w:pPr>
        <w:jc w:val="both"/>
        <w:rPr>
          <w:rFonts w:eastAsia="SimSun"/>
          <w:b/>
          <w:bCs/>
          <w:lang w:val="en-US" w:eastAsia="zh-CN"/>
        </w:rPr>
      </w:pPr>
      <w:r w:rsidRPr="00390EEA">
        <w:rPr>
          <w:b/>
          <w:bCs/>
        </w:rPr>
        <w:t xml:space="preserve">Observation 4: </w:t>
      </w:r>
      <w:r w:rsidRPr="00390EEA">
        <w:rPr>
          <w:rFonts w:eastAsia="SimSun"/>
          <w:b/>
          <w:bCs/>
          <w:lang w:val="en-US" w:eastAsia="zh-CN"/>
        </w:rPr>
        <w:t xml:space="preserve">The RLF reports and CEF reports are collected without any prior-configuration from the gNB. </w:t>
      </w:r>
    </w:p>
    <w:p w14:paraId="750FAF7D" w14:textId="5EC99C49" w:rsidR="00390EEA" w:rsidRDefault="00390EEA" w:rsidP="00390EEA">
      <w:pPr>
        <w:pStyle w:val="Heading2"/>
      </w:pPr>
      <w:r>
        <w:t>2.4</w:t>
      </w:r>
      <w:r>
        <w:tab/>
        <w:t>RAN2 goal with RLFreport and CEFreport</w:t>
      </w:r>
    </w:p>
    <w:p w14:paraId="413358C4" w14:textId="77777777" w:rsidR="00390EEA" w:rsidRDefault="00390EEA" w:rsidP="00390EEA">
      <w:pPr>
        <w:jc w:val="both"/>
        <w:rPr>
          <w:rFonts w:eastAsia="SimSun"/>
          <w:lang w:val="en-US" w:eastAsia="zh-CN"/>
        </w:rPr>
      </w:pPr>
      <w:r>
        <w:rPr>
          <w:rFonts w:eastAsia="SimSun"/>
          <w:lang w:val="en-US" w:eastAsia="zh-CN"/>
        </w:rPr>
        <w:t xml:space="preserve">The RLF reports and CEF reports are key enablers for fundamental SON and MDT use cases: Coverage Optimization, Mobility Optimization. It has been carefully worked out in initial releases of SON and MDT to support the features mandatorily and record the events in the UE. They provide network vendors and operators in actual feedback from the field users on critical network issues. </w:t>
      </w:r>
    </w:p>
    <w:p w14:paraId="4AAC6551" w14:textId="77777777" w:rsidR="00390EEA" w:rsidRDefault="00390EEA" w:rsidP="00390EEA">
      <w:pPr>
        <w:jc w:val="both"/>
        <w:rPr>
          <w:rFonts w:eastAsia="SimSun"/>
          <w:lang w:val="en-US" w:eastAsia="zh-CN"/>
        </w:rPr>
      </w:pPr>
      <w:r>
        <w:rPr>
          <w:rFonts w:eastAsia="SimSun"/>
          <w:lang w:val="en-US" w:eastAsia="zh-CN"/>
        </w:rPr>
        <w:t xml:space="preserve">For RLF and CEF reports, RAN2 has reused LTE baseline, with no prior configuration to the UE, but taking benefits of providing the reports by the users, when available. </w:t>
      </w:r>
    </w:p>
    <w:p w14:paraId="14965E74" w14:textId="7D9E3453" w:rsidR="00390EEA" w:rsidRDefault="00390EEA" w:rsidP="00390EEA">
      <w:pPr>
        <w:jc w:val="both"/>
        <w:rPr>
          <w:rFonts w:eastAsia="SimSun"/>
          <w:lang w:val="en-US" w:eastAsia="zh-CN"/>
        </w:rPr>
      </w:pPr>
      <w:r>
        <w:rPr>
          <w:rFonts w:eastAsia="SimSun"/>
          <w:lang w:val="en-US" w:eastAsia="zh-CN"/>
        </w:rPr>
        <w:t xml:space="preserve">We believe, the generic goal in RAN2 has been also to reuse well-worked out LTE framework for user consent also in NR. </w:t>
      </w:r>
    </w:p>
    <w:p w14:paraId="67B24EF2" w14:textId="52C09507" w:rsidR="00390EEA" w:rsidRPr="00390EEA" w:rsidRDefault="00390EEA" w:rsidP="00390EEA">
      <w:pPr>
        <w:rPr>
          <w:rFonts w:eastAsia="SimSun"/>
          <w:b/>
          <w:bCs/>
          <w:lang w:val="en-US" w:eastAsia="zh-CN"/>
        </w:rPr>
      </w:pPr>
      <w:r w:rsidRPr="00390EEA">
        <w:rPr>
          <w:rFonts w:eastAsia="SimSun"/>
          <w:b/>
          <w:bCs/>
          <w:lang w:val="en-US" w:eastAsia="zh-CN"/>
        </w:rPr>
        <w:t xml:space="preserve">Observation </w:t>
      </w:r>
      <w:r>
        <w:rPr>
          <w:rFonts w:eastAsia="SimSun"/>
          <w:b/>
          <w:bCs/>
          <w:lang w:val="en-US" w:eastAsia="zh-CN"/>
        </w:rPr>
        <w:t>5</w:t>
      </w:r>
      <w:r w:rsidRPr="00390EEA">
        <w:rPr>
          <w:rFonts w:eastAsia="SimSun"/>
          <w:b/>
          <w:bCs/>
          <w:lang w:val="en-US" w:eastAsia="zh-CN"/>
        </w:rPr>
        <w:t xml:space="preserve">: </w:t>
      </w:r>
      <w:r>
        <w:rPr>
          <w:rFonts w:eastAsia="SimSun"/>
          <w:b/>
          <w:bCs/>
          <w:lang w:val="en-US" w:eastAsia="zh-CN"/>
        </w:rPr>
        <w:t>RAN2</w:t>
      </w:r>
      <w:r w:rsidRPr="00390EEA">
        <w:rPr>
          <w:rFonts w:eastAsia="SimSun"/>
          <w:b/>
          <w:bCs/>
          <w:lang w:val="en-US" w:eastAsia="zh-CN"/>
        </w:rPr>
        <w:t xml:space="preserve"> goal was to reuse LTE framework for user consent in N</w:t>
      </w:r>
      <w:r>
        <w:rPr>
          <w:rFonts w:eastAsia="SimSun"/>
          <w:b/>
          <w:bCs/>
          <w:lang w:val="en-US" w:eastAsia="zh-CN"/>
        </w:rPr>
        <w:t>R</w:t>
      </w:r>
      <w:r w:rsidRPr="00390EEA">
        <w:rPr>
          <w:rFonts w:eastAsia="SimSun"/>
          <w:b/>
          <w:bCs/>
          <w:lang w:val="en-US" w:eastAsia="zh-CN"/>
        </w:rPr>
        <w:t>.</w:t>
      </w:r>
      <w:r>
        <w:rPr>
          <w:rFonts w:eastAsia="SimSun"/>
          <w:b/>
          <w:bCs/>
          <w:lang w:val="en-US" w:eastAsia="zh-CN"/>
        </w:rPr>
        <w:t xml:space="preserve"> </w:t>
      </w:r>
    </w:p>
    <w:p w14:paraId="558CDDB7" w14:textId="77777777" w:rsidR="00390EEA" w:rsidRDefault="00390EEA" w:rsidP="00390EEA">
      <w:pPr>
        <w:jc w:val="both"/>
        <w:rPr>
          <w:rFonts w:eastAsia="SimSun"/>
          <w:lang w:val="en-US" w:eastAsia="zh-CN"/>
        </w:rPr>
      </w:pPr>
      <w:r>
        <w:rPr>
          <w:rFonts w:eastAsia="SimSun"/>
          <w:lang w:val="en-US" w:eastAsia="zh-CN"/>
        </w:rPr>
        <w:t xml:space="preserve">Any intentional changes haven’t been particularly addressed in Rel-15 SI nor Rel-16 WI. </w:t>
      </w:r>
    </w:p>
    <w:p w14:paraId="64E9173C" w14:textId="103F0073" w:rsidR="00390EEA" w:rsidRDefault="00390EEA" w:rsidP="00390EEA">
      <w:pPr>
        <w:jc w:val="both"/>
        <w:rPr>
          <w:rFonts w:eastAsia="SimSun"/>
          <w:lang w:val="en-US" w:eastAsia="zh-CN"/>
        </w:rPr>
      </w:pPr>
      <w:r>
        <w:rPr>
          <w:rFonts w:eastAsia="SimSun"/>
          <w:lang w:val="en-US" w:eastAsia="zh-CN"/>
        </w:rPr>
        <w:t>At the same time, it’s worth noting, that any need for user consent modifications, would require consulting other working groups (including SA3, and SA/RAN due to sensitivity of the procedures and system wide privacy requirements). While potential changes to user consent would eventually impact network side and require network interfaces support, we trust RAN2 did not have intention to trigger procedural changes to user consent without addressing the actual problems with LTE framework. Otherwise, it would limit the usability of the SON/MDT reports.</w:t>
      </w:r>
    </w:p>
    <w:p w14:paraId="3178CF18" w14:textId="7CCCE071" w:rsidR="00390EEA" w:rsidRDefault="00390EEA" w:rsidP="00390EEA">
      <w:pPr>
        <w:jc w:val="both"/>
        <w:rPr>
          <w:rFonts w:eastAsia="SimSun"/>
          <w:b/>
          <w:bCs/>
          <w:lang w:val="en-US" w:eastAsia="zh-CN"/>
        </w:rPr>
      </w:pPr>
      <w:r w:rsidRPr="00390EEA">
        <w:rPr>
          <w:rFonts w:eastAsia="SimSun"/>
          <w:b/>
          <w:bCs/>
          <w:lang w:val="en-US" w:eastAsia="zh-CN"/>
        </w:rPr>
        <w:t xml:space="preserve">Observation </w:t>
      </w:r>
      <w:r>
        <w:rPr>
          <w:rFonts w:eastAsia="SimSun"/>
          <w:b/>
          <w:bCs/>
          <w:lang w:val="en-US" w:eastAsia="zh-CN"/>
        </w:rPr>
        <w:t>6</w:t>
      </w:r>
      <w:r w:rsidRPr="00390EEA">
        <w:rPr>
          <w:rFonts w:eastAsia="SimSun"/>
          <w:b/>
          <w:bCs/>
          <w:lang w:val="en-US" w:eastAsia="zh-CN"/>
        </w:rPr>
        <w:t>: A need for new conditions for handling user consent should be identified jointly by relevant working groups.</w:t>
      </w:r>
    </w:p>
    <w:p w14:paraId="5ACB52C6" w14:textId="77777777" w:rsidR="00CF38F5" w:rsidRPr="00390EEA" w:rsidRDefault="00CF38F5" w:rsidP="00390EEA">
      <w:pPr>
        <w:jc w:val="both"/>
        <w:rPr>
          <w:rFonts w:eastAsia="SimSun"/>
          <w:b/>
          <w:bCs/>
          <w:lang w:val="en-US" w:eastAsia="zh-CN"/>
        </w:rPr>
      </w:pPr>
    </w:p>
    <w:p w14:paraId="3C66ACCD" w14:textId="57182602" w:rsidR="00390EEA" w:rsidRDefault="00390EEA" w:rsidP="00390EEA">
      <w:pPr>
        <w:jc w:val="both"/>
        <w:rPr>
          <w:rFonts w:eastAsia="SimSun"/>
          <w:lang w:val="en-US" w:eastAsia="zh-CN"/>
        </w:rPr>
      </w:pPr>
      <w:r>
        <w:rPr>
          <w:rFonts w:eastAsia="SimSun"/>
          <w:lang w:val="en-US" w:eastAsia="zh-CN"/>
        </w:rPr>
        <w:lastRenderedPageBreak/>
        <w:t>While meeting privacy requirements cannot be compromised, in our understanding RAN2 had no intention to put new requirements on over-engineering user consent aspect at the expense of reduced usability and benefit of MDT.</w:t>
      </w:r>
    </w:p>
    <w:p w14:paraId="6FECEECB" w14:textId="77777777" w:rsidR="00390EEA" w:rsidRDefault="00390EEA" w:rsidP="00390EEA">
      <w:pPr>
        <w:jc w:val="both"/>
        <w:rPr>
          <w:rFonts w:eastAsia="SimSun"/>
          <w:lang w:val="en-US" w:eastAsia="zh-CN"/>
        </w:rPr>
      </w:pPr>
    </w:p>
    <w:p w14:paraId="5CC938F9" w14:textId="7216CE15" w:rsidR="00390EEA" w:rsidRPr="00390EEA" w:rsidRDefault="00390EEA" w:rsidP="00390EEA">
      <w:pPr>
        <w:jc w:val="both"/>
        <w:rPr>
          <w:rFonts w:eastAsia="SimSun"/>
          <w:lang w:val="en-US" w:eastAsia="zh-CN"/>
        </w:rPr>
      </w:pPr>
      <w:r>
        <w:rPr>
          <w:rFonts w:eastAsia="SimSun"/>
          <w:lang w:val="en-US" w:eastAsia="zh-CN"/>
        </w:rPr>
        <w:t>Therefore, we think the intention of the LS should be clarified. In our understanding, t</w:t>
      </w:r>
      <w:r>
        <w:t>he previous LS in [1]:</w:t>
      </w:r>
    </w:p>
    <w:p w14:paraId="2F0EFE2E" w14:textId="1789DA47" w:rsidR="00390EEA" w:rsidRPr="00390EEA" w:rsidRDefault="00390EEA" w:rsidP="00390EEA">
      <w:pPr>
        <w:numPr>
          <w:ilvl w:val="0"/>
          <w:numId w:val="8"/>
        </w:numPr>
        <w:overflowPunct w:val="0"/>
        <w:autoSpaceDE w:val="0"/>
        <w:autoSpaceDN w:val="0"/>
        <w:adjustRightInd w:val="0"/>
        <w:rPr>
          <w:rFonts w:eastAsia="SimSun"/>
          <w:lang w:val="en-US" w:eastAsia="zh-CN"/>
        </w:rPr>
      </w:pPr>
      <w:r>
        <w:rPr>
          <w:rFonts w:eastAsia="SimSun"/>
          <w:lang w:val="en-US" w:eastAsia="zh-CN"/>
        </w:rPr>
        <w:t xml:space="preserve">primarily, </w:t>
      </w:r>
      <w:r w:rsidRPr="00390EEA">
        <w:rPr>
          <w:rFonts w:eastAsia="SimSun"/>
          <w:lang w:val="en-US" w:eastAsia="zh-CN"/>
        </w:rPr>
        <w:t>targeted to ensure the SA5 receives latest status of RAN SON/MDT WI</w:t>
      </w:r>
    </w:p>
    <w:p w14:paraId="45D61539" w14:textId="4DFF2F7E" w:rsidR="00390EEA" w:rsidRPr="00390EEA" w:rsidRDefault="00390EEA" w:rsidP="00390EEA">
      <w:pPr>
        <w:numPr>
          <w:ilvl w:val="0"/>
          <w:numId w:val="8"/>
        </w:numPr>
        <w:overflowPunct w:val="0"/>
        <w:autoSpaceDE w:val="0"/>
        <w:autoSpaceDN w:val="0"/>
        <w:adjustRightInd w:val="0"/>
        <w:rPr>
          <w:rFonts w:eastAsia="SimSun"/>
          <w:lang w:val="en-US" w:eastAsia="zh-CN"/>
        </w:rPr>
      </w:pPr>
      <w:r w:rsidRPr="00390EEA">
        <w:rPr>
          <w:rFonts w:eastAsia="SimSun"/>
          <w:lang w:val="en-US" w:eastAsia="zh-CN"/>
        </w:rPr>
        <w:t xml:space="preserve">had no intention to modify the framework for user consent, especially for </w:t>
      </w:r>
      <w:r>
        <w:rPr>
          <w:rFonts w:eastAsia="SimSun"/>
          <w:lang w:val="en-US" w:eastAsia="zh-CN"/>
        </w:rPr>
        <w:t xml:space="preserve">LTE (as </w:t>
      </w:r>
      <w:r w:rsidRPr="00390EEA">
        <w:rPr>
          <w:rFonts w:eastAsia="SimSun"/>
          <w:lang w:val="en-US" w:eastAsia="zh-CN"/>
        </w:rPr>
        <w:t>SCG Failure</w:t>
      </w:r>
      <w:r>
        <w:rPr>
          <w:rFonts w:eastAsia="SimSun"/>
          <w:lang w:val="en-US" w:eastAsia="zh-CN"/>
        </w:rPr>
        <w:t xml:space="preserve"> </w:t>
      </w:r>
      <w:r w:rsidRPr="00390EEA">
        <w:rPr>
          <w:rFonts w:eastAsia="SimSun"/>
          <w:lang w:val="en-US" w:eastAsia="zh-CN"/>
        </w:rPr>
        <w:t xml:space="preserve">is LTE report), but to highlight </w:t>
      </w:r>
      <w:r>
        <w:rPr>
          <w:rFonts w:eastAsia="SimSun"/>
          <w:lang w:val="en-US" w:eastAsia="zh-CN"/>
        </w:rPr>
        <w:t>there is</w:t>
      </w:r>
      <w:r w:rsidRPr="00390EEA">
        <w:rPr>
          <w:rFonts w:eastAsia="SimSun"/>
          <w:lang w:val="en-US" w:eastAsia="zh-CN"/>
        </w:rPr>
        <w:t xml:space="preserve"> a new type of </w:t>
      </w:r>
      <w:r>
        <w:rPr>
          <w:rFonts w:eastAsia="SimSun"/>
          <w:lang w:val="en-US" w:eastAsia="zh-CN"/>
        </w:rPr>
        <w:t xml:space="preserve">LTE </w:t>
      </w:r>
      <w:r w:rsidRPr="00390EEA">
        <w:rPr>
          <w:rFonts w:eastAsia="SimSun"/>
          <w:lang w:val="en-US" w:eastAsia="zh-CN"/>
        </w:rPr>
        <w:t>report in MDT data collection</w:t>
      </w:r>
    </w:p>
    <w:p w14:paraId="26739AE7" w14:textId="478376CC" w:rsidR="00390EEA" w:rsidRPr="00390EEA" w:rsidRDefault="00390EEA" w:rsidP="00390EEA">
      <w:pPr>
        <w:numPr>
          <w:ilvl w:val="0"/>
          <w:numId w:val="8"/>
        </w:numPr>
        <w:overflowPunct w:val="0"/>
        <w:autoSpaceDE w:val="0"/>
        <w:autoSpaceDN w:val="0"/>
        <w:adjustRightInd w:val="0"/>
        <w:rPr>
          <w:rFonts w:eastAsia="SimSun"/>
          <w:lang w:val="en-US" w:eastAsia="zh-CN"/>
        </w:rPr>
      </w:pPr>
      <w:r w:rsidRPr="00390EEA">
        <w:rPr>
          <w:rFonts w:eastAsia="SimSun"/>
          <w:lang w:val="en-US" w:eastAsia="zh-CN"/>
        </w:rPr>
        <w:t>categorized the new LTE report: SCG</w:t>
      </w:r>
      <w:r>
        <w:rPr>
          <w:rFonts w:eastAsia="SimSun"/>
          <w:lang w:val="en-US" w:eastAsia="zh-CN"/>
        </w:rPr>
        <w:t xml:space="preserve"> </w:t>
      </w:r>
      <w:r w:rsidRPr="00390EEA">
        <w:rPr>
          <w:rFonts w:eastAsia="SimSun"/>
          <w:lang w:val="en-US" w:eastAsia="zh-CN"/>
        </w:rPr>
        <w:t xml:space="preserve">Failure report type </w:t>
      </w:r>
      <w:r>
        <w:rPr>
          <w:rFonts w:eastAsia="SimSun"/>
          <w:lang w:val="en-US" w:eastAsia="zh-CN"/>
        </w:rPr>
        <w:t xml:space="preserve">together </w:t>
      </w:r>
      <w:r w:rsidRPr="00390EEA">
        <w:rPr>
          <w:rFonts w:eastAsia="SimSun"/>
          <w:lang w:val="en-US" w:eastAsia="zh-CN"/>
        </w:rPr>
        <w:t>with RLFreport</w:t>
      </w:r>
      <w:r>
        <w:rPr>
          <w:rFonts w:eastAsia="SimSun"/>
          <w:lang w:val="en-US" w:eastAsia="zh-CN"/>
        </w:rPr>
        <w:t>/</w:t>
      </w:r>
      <w:r w:rsidRPr="00390EEA">
        <w:rPr>
          <w:rFonts w:eastAsia="SimSun"/>
          <w:lang w:val="en-US" w:eastAsia="zh-CN"/>
        </w:rPr>
        <w:t>CEFreport</w:t>
      </w:r>
      <w:r>
        <w:rPr>
          <w:rFonts w:eastAsia="SimSun"/>
          <w:lang w:val="en-US" w:eastAsia="zh-CN"/>
        </w:rPr>
        <w:t>, while it concerns LTE data collection and NR data collection, respectively. Thus remains up to SA5 and RAN3 to define procedural handling and job types for the reports</w:t>
      </w:r>
    </w:p>
    <w:p w14:paraId="0B9AAB91" w14:textId="5FBB4053" w:rsidR="00390EEA" w:rsidRPr="00390EEA" w:rsidRDefault="00390EEA" w:rsidP="00390EEA">
      <w:pPr>
        <w:rPr>
          <w:rFonts w:eastAsia="SimSun"/>
          <w:b/>
          <w:bCs/>
          <w:lang w:val="en-US" w:eastAsia="zh-CN"/>
        </w:rPr>
      </w:pPr>
      <w:r w:rsidRPr="00390EEA">
        <w:rPr>
          <w:rFonts w:eastAsia="SimSun"/>
          <w:b/>
          <w:bCs/>
          <w:lang w:val="en-US" w:eastAsia="zh-CN"/>
        </w:rPr>
        <w:t>Proposal: Clarify the intention of RAN2 discussions and send LS to SA5 as proposed in [7].</w:t>
      </w:r>
    </w:p>
    <w:p w14:paraId="5FF2457F" w14:textId="11A84A2C" w:rsidR="00A209D6" w:rsidRPr="006E13D1" w:rsidRDefault="00A209D6" w:rsidP="00A209D6">
      <w:pPr>
        <w:pStyle w:val="Heading1"/>
      </w:pPr>
      <w:r w:rsidRPr="006E13D1">
        <w:t>4</w:t>
      </w:r>
      <w:r w:rsidRPr="006E13D1">
        <w:tab/>
      </w:r>
      <w:r w:rsidR="008C3057">
        <w:t>Conclusion</w:t>
      </w:r>
    </w:p>
    <w:p w14:paraId="6C60FFDC" w14:textId="74DE5991" w:rsidR="00A209D6" w:rsidRDefault="00390EEA" w:rsidP="00A209D6">
      <w:r>
        <w:t>In this contribution we observe and propose the following:</w:t>
      </w:r>
    </w:p>
    <w:p w14:paraId="769BA9EC" w14:textId="77777777" w:rsidR="00390EEA" w:rsidRDefault="00390EEA" w:rsidP="00390EEA">
      <w:pPr>
        <w:rPr>
          <w:b/>
          <w:bCs/>
        </w:rPr>
      </w:pPr>
      <w:r w:rsidRPr="00390EEA">
        <w:rPr>
          <w:b/>
          <w:bCs/>
        </w:rPr>
        <w:t xml:space="preserve">Observation 1: User consent procedures are transparent to RRC. </w:t>
      </w:r>
    </w:p>
    <w:p w14:paraId="20889E70" w14:textId="6583C977" w:rsidR="00390EEA" w:rsidRPr="00390EEA" w:rsidRDefault="00390EEA" w:rsidP="00390EEA">
      <w:pPr>
        <w:jc w:val="both"/>
        <w:rPr>
          <w:b/>
          <w:bCs/>
        </w:rPr>
      </w:pPr>
      <w:r w:rsidRPr="00390EEA">
        <w:rPr>
          <w:b/>
          <w:bCs/>
        </w:rPr>
        <w:t xml:space="preserve">Observation 2: </w:t>
      </w:r>
      <w:r>
        <w:rPr>
          <w:b/>
          <w:bCs/>
        </w:rPr>
        <w:t>According to TS32.422, u</w:t>
      </w:r>
      <w:r w:rsidRPr="00390EEA">
        <w:rPr>
          <w:b/>
          <w:bCs/>
        </w:rPr>
        <w:t xml:space="preserve">ser consent is strictly required for Logged MDT and Immediate MDT. The user consent determines user selection by RAN node. </w:t>
      </w:r>
    </w:p>
    <w:p w14:paraId="1F2747A2" w14:textId="20686FD9" w:rsidR="00390EEA" w:rsidRDefault="00390EEA" w:rsidP="00390EEA">
      <w:pPr>
        <w:rPr>
          <w:rFonts w:eastAsia="SimSun"/>
          <w:b/>
          <w:bCs/>
          <w:lang w:eastAsia="zh-CN"/>
        </w:rPr>
      </w:pPr>
      <w:r w:rsidRPr="00390EEA">
        <w:rPr>
          <w:b/>
          <w:bCs/>
        </w:rPr>
        <w:t xml:space="preserve">Observation </w:t>
      </w:r>
      <w:r>
        <w:rPr>
          <w:b/>
          <w:bCs/>
        </w:rPr>
        <w:t>3</w:t>
      </w:r>
      <w:r w:rsidRPr="00390EEA">
        <w:rPr>
          <w:b/>
          <w:bCs/>
        </w:rPr>
        <w:t xml:space="preserve">: </w:t>
      </w:r>
      <w:r>
        <w:rPr>
          <w:b/>
          <w:bCs/>
        </w:rPr>
        <w:t>According to TS32.422, u</w:t>
      </w:r>
      <w:r w:rsidRPr="00390EEA">
        <w:rPr>
          <w:b/>
          <w:bCs/>
        </w:rPr>
        <w:t xml:space="preserve">ser consent </w:t>
      </w:r>
      <w:r>
        <w:rPr>
          <w:b/>
          <w:bCs/>
        </w:rPr>
        <w:t>has not been required for RLFreport and CEFreport.</w:t>
      </w:r>
    </w:p>
    <w:p w14:paraId="0DD59B9C" w14:textId="77777777" w:rsidR="00390EEA" w:rsidRPr="00390EEA" w:rsidRDefault="00390EEA" w:rsidP="00390EEA">
      <w:pPr>
        <w:jc w:val="both"/>
        <w:rPr>
          <w:rFonts w:eastAsia="SimSun"/>
          <w:b/>
          <w:bCs/>
          <w:lang w:val="en-US" w:eastAsia="zh-CN"/>
        </w:rPr>
      </w:pPr>
      <w:r w:rsidRPr="00390EEA">
        <w:rPr>
          <w:b/>
          <w:bCs/>
        </w:rPr>
        <w:t xml:space="preserve">Observation 4: </w:t>
      </w:r>
      <w:r w:rsidRPr="00390EEA">
        <w:rPr>
          <w:rFonts w:eastAsia="SimSun"/>
          <w:b/>
          <w:bCs/>
          <w:lang w:val="en-US" w:eastAsia="zh-CN"/>
        </w:rPr>
        <w:t xml:space="preserve">The RLF reports and CEF reports are collected without any prior-configuration from the gNB. </w:t>
      </w:r>
    </w:p>
    <w:p w14:paraId="68F78F6E" w14:textId="07375B63" w:rsidR="00390EEA" w:rsidRPr="00390EEA" w:rsidRDefault="00390EEA" w:rsidP="00390EEA">
      <w:pPr>
        <w:rPr>
          <w:rFonts w:eastAsia="SimSun"/>
          <w:b/>
          <w:bCs/>
          <w:lang w:val="en-US" w:eastAsia="zh-CN"/>
        </w:rPr>
      </w:pPr>
      <w:r>
        <w:rPr>
          <w:rFonts w:eastAsia="SimSun"/>
          <w:b/>
          <w:bCs/>
          <w:lang w:val="en-US" w:eastAsia="zh-CN"/>
        </w:rPr>
        <w:t>O</w:t>
      </w:r>
      <w:r w:rsidRPr="00390EEA">
        <w:rPr>
          <w:rFonts w:eastAsia="SimSun"/>
          <w:b/>
          <w:bCs/>
          <w:lang w:val="en-US" w:eastAsia="zh-CN"/>
        </w:rPr>
        <w:t xml:space="preserve">bservation </w:t>
      </w:r>
      <w:r>
        <w:rPr>
          <w:rFonts w:eastAsia="SimSun"/>
          <w:b/>
          <w:bCs/>
          <w:lang w:val="en-US" w:eastAsia="zh-CN"/>
        </w:rPr>
        <w:t>5</w:t>
      </w:r>
      <w:r w:rsidRPr="00390EEA">
        <w:rPr>
          <w:rFonts w:eastAsia="SimSun"/>
          <w:b/>
          <w:bCs/>
          <w:lang w:val="en-US" w:eastAsia="zh-CN"/>
        </w:rPr>
        <w:t xml:space="preserve">: </w:t>
      </w:r>
      <w:r>
        <w:rPr>
          <w:rFonts w:eastAsia="SimSun"/>
          <w:b/>
          <w:bCs/>
          <w:lang w:val="en-US" w:eastAsia="zh-CN"/>
        </w:rPr>
        <w:t>RAN2</w:t>
      </w:r>
      <w:r w:rsidRPr="00390EEA">
        <w:rPr>
          <w:rFonts w:eastAsia="SimSun"/>
          <w:b/>
          <w:bCs/>
          <w:lang w:val="en-US" w:eastAsia="zh-CN"/>
        </w:rPr>
        <w:t xml:space="preserve"> goal was to reuse LTE framework for user consent in N</w:t>
      </w:r>
      <w:r>
        <w:rPr>
          <w:rFonts w:eastAsia="SimSun"/>
          <w:b/>
          <w:bCs/>
          <w:lang w:val="en-US" w:eastAsia="zh-CN"/>
        </w:rPr>
        <w:t>R</w:t>
      </w:r>
      <w:r w:rsidRPr="00390EEA">
        <w:rPr>
          <w:rFonts w:eastAsia="SimSun"/>
          <w:b/>
          <w:bCs/>
          <w:lang w:val="en-US" w:eastAsia="zh-CN"/>
        </w:rPr>
        <w:t>.</w:t>
      </w:r>
    </w:p>
    <w:p w14:paraId="708A2411" w14:textId="77777777" w:rsidR="00390EEA" w:rsidRPr="00390EEA" w:rsidRDefault="00390EEA" w:rsidP="00390EEA">
      <w:pPr>
        <w:jc w:val="both"/>
        <w:rPr>
          <w:rFonts w:eastAsia="SimSun"/>
          <w:b/>
          <w:bCs/>
          <w:lang w:val="en-US" w:eastAsia="zh-CN"/>
        </w:rPr>
      </w:pPr>
      <w:r w:rsidRPr="00390EEA">
        <w:rPr>
          <w:rFonts w:eastAsia="SimSun"/>
          <w:b/>
          <w:bCs/>
          <w:lang w:val="en-US" w:eastAsia="zh-CN"/>
        </w:rPr>
        <w:t xml:space="preserve">Observation </w:t>
      </w:r>
      <w:r>
        <w:rPr>
          <w:rFonts w:eastAsia="SimSun"/>
          <w:b/>
          <w:bCs/>
          <w:lang w:val="en-US" w:eastAsia="zh-CN"/>
        </w:rPr>
        <w:t>6</w:t>
      </w:r>
      <w:r w:rsidRPr="00390EEA">
        <w:rPr>
          <w:rFonts w:eastAsia="SimSun"/>
          <w:b/>
          <w:bCs/>
          <w:lang w:val="en-US" w:eastAsia="zh-CN"/>
        </w:rPr>
        <w:t>: A need for new conditions for handling user consent should be identified jointly by relevant working groups.</w:t>
      </w:r>
    </w:p>
    <w:p w14:paraId="5DBCB897" w14:textId="77777777" w:rsidR="00390EEA" w:rsidRPr="00390EEA" w:rsidRDefault="00390EEA" w:rsidP="00390EEA">
      <w:pPr>
        <w:rPr>
          <w:rFonts w:eastAsia="SimSun"/>
          <w:b/>
          <w:bCs/>
          <w:lang w:val="en-US" w:eastAsia="zh-CN"/>
        </w:rPr>
      </w:pPr>
      <w:r w:rsidRPr="00390EEA">
        <w:rPr>
          <w:rFonts w:eastAsia="SimSun"/>
          <w:b/>
          <w:bCs/>
          <w:lang w:val="en-US" w:eastAsia="zh-CN"/>
        </w:rPr>
        <w:t>Proposal: Clarify the intention of RAN2 discussions and send LS to SA5 as proposed in [7].</w:t>
      </w:r>
    </w:p>
    <w:p w14:paraId="432B0A82" w14:textId="77777777" w:rsidR="00A209D6" w:rsidRDefault="00A209D6" w:rsidP="00A209D6"/>
    <w:p w14:paraId="03A7FA9C" w14:textId="77777777" w:rsidR="00390EEA" w:rsidRDefault="00390EEA" w:rsidP="00390EEA">
      <w:pPr>
        <w:pStyle w:val="Heading1"/>
      </w:pPr>
      <w:r>
        <w:t>4</w:t>
      </w:r>
      <w:r>
        <w:tab/>
        <w:t>References</w:t>
      </w:r>
    </w:p>
    <w:p w14:paraId="3118AFA8" w14:textId="77777777" w:rsidR="00390EEA" w:rsidRDefault="005F0877" w:rsidP="00267264">
      <w:pPr>
        <w:numPr>
          <w:ilvl w:val="0"/>
          <w:numId w:val="9"/>
        </w:numPr>
        <w:overflowPunct w:val="0"/>
        <w:autoSpaceDE w:val="0"/>
        <w:autoSpaceDN w:val="0"/>
        <w:adjustRightInd w:val="0"/>
        <w:spacing w:after="60"/>
      </w:pPr>
      <w:hyperlink r:id="rId14" w:history="1">
        <w:r w:rsidR="00390EEA" w:rsidRPr="00390EEA">
          <w:rPr>
            <w:rStyle w:val="Hyperlink"/>
          </w:rPr>
          <w:t>R2-2006372</w:t>
        </w:r>
      </w:hyperlink>
      <w:r w:rsidR="00390EEA">
        <w:t xml:space="preserve">, </w:t>
      </w:r>
      <w:r w:rsidR="00390EEA" w:rsidRPr="00390EEA">
        <w:t>Reply LS on the status update of the SON support for NR works, RAN2</w:t>
      </w:r>
    </w:p>
    <w:p w14:paraId="38371EF2" w14:textId="6AF17A11" w:rsidR="00390EEA" w:rsidRPr="00390EEA" w:rsidRDefault="005F0877" w:rsidP="00794B01">
      <w:pPr>
        <w:numPr>
          <w:ilvl w:val="0"/>
          <w:numId w:val="9"/>
        </w:numPr>
        <w:overflowPunct w:val="0"/>
        <w:autoSpaceDE w:val="0"/>
        <w:autoSpaceDN w:val="0"/>
        <w:adjustRightInd w:val="0"/>
        <w:spacing w:after="60"/>
      </w:pPr>
      <w:hyperlink r:id="rId15" w:history="1">
        <w:r w:rsidR="00390EEA" w:rsidRPr="00390EEA">
          <w:rPr>
            <w:rStyle w:val="Hyperlink"/>
          </w:rPr>
          <w:t>S5-204542</w:t>
        </w:r>
      </w:hyperlink>
      <w:r w:rsidR="00390EEA" w:rsidRPr="00390EEA">
        <w:t>, Reply LS on the user consent for trace reporting, SA5</w:t>
      </w:r>
    </w:p>
    <w:p w14:paraId="6BDF896B" w14:textId="1CE3E6A9" w:rsidR="00390EEA" w:rsidRDefault="005F0877" w:rsidP="00794B01">
      <w:pPr>
        <w:numPr>
          <w:ilvl w:val="0"/>
          <w:numId w:val="9"/>
        </w:numPr>
        <w:overflowPunct w:val="0"/>
        <w:autoSpaceDE w:val="0"/>
        <w:autoSpaceDN w:val="0"/>
        <w:adjustRightInd w:val="0"/>
        <w:spacing w:after="60"/>
      </w:pPr>
      <w:hyperlink r:id="rId16" w:history="1">
        <w:r w:rsidR="00390EEA" w:rsidRPr="00390EEA">
          <w:rPr>
            <w:rStyle w:val="Hyperlink"/>
          </w:rPr>
          <w:t>S1-110172</w:t>
        </w:r>
      </w:hyperlink>
      <w:r w:rsidR="00390EEA">
        <w:t xml:space="preserve">, </w:t>
      </w:r>
      <w:r w:rsidR="00390EEA" w:rsidRPr="00390EEA">
        <w:t>Reply LS for MDT from SA1</w:t>
      </w:r>
    </w:p>
    <w:p w14:paraId="77587971" w14:textId="41DDCF90" w:rsidR="00390EEA" w:rsidRDefault="005F0877" w:rsidP="00E35427">
      <w:pPr>
        <w:numPr>
          <w:ilvl w:val="0"/>
          <w:numId w:val="9"/>
        </w:numPr>
        <w:overflowPunct w:val="0"/>
        <w:autoSpaceDE w:val="0"/>
        <w:autoSpaceDN w:val="0"/>
        <w:adjustRightInd w:val="0"/>
        <w:spacing w:after="60"/>
      </w:pPr>
      <w:hyperlink r:id="rId17" w:history="1">
        <w:r w:rsidR="00390EEA" w:rsidRPr="00390EEA">
          <w:rPr>
            <w:rStyle w:val="Hyperlink"/>
          </w:rPr>
          <w:t>S3-110185</w:t>
        </w:r>
      </w:hyperlink>
      <w:r w:rsidR="00390EEA">
        <w:t xml:space="preserve">, </w:t>
      </w:r>
      <w:r w:rsidR="00390EEA" w:rsidRPr="00390EEA">
        <w:t>Reply LS on MDT user involvement</w:t>
      </w:r>
    </w:p>
    <w:p w14:paraId="7F6F1587" w14:textId="296A9716" w:rsidR="00390EEA" w:rsidRPr="00390EEA" w:rsidRDefault="00390EEA" w:rsidP="00E35427">
      <w:pPr>
        <w:numPr>
          <w:ilvl w:val="0"/>
          <w:numId w:val="9"/>
        </w:numPr>
        <w:overflowPunct w:val="0"/>
        <w:autoSpaceDE w:val="0"/>
        <w:autoSpaceDN w:val="0"/>
        <w:adjustRightInd w:val="0"/>
        <w:spacing w:after="60"/>
      </w:pPr>
      <w:r w:rsidRPr="00390EEA">
        <w:tab/>
      </w:r>
      <w:hyperlink r:id="rId18" w:history="1">
        <w:r w:rsidRPr="00390EEA">
          <w:rPr>
            <w:rStyle w:val="Hyperlink"/>
          </w:rPr>
          <w:t>R3-110931</w:t>
        </w:r>
      </w:hyperlink>
      <w:r>
        <w:t>, LS</w:t>
      </w:r>
      <w:r w:rsidRPr="00390EEA">
        <w:t xml:space="preserve"> on LS on User consent indication for MDT</w:t>
      </w:r>
    </w:p>
    <w:p w14:paraId="35F222F4" w14:textId="6197AE13" w:rsidR="00080512" w:rsidRDefault="005F0877" w:rsidP="00EA141D">
      <w:pPr>
        <w:numPr>
          <w:ilvl w:val="0"/>
          <w:numId w:val="9"/>
        </w:numPr>
        <w:overflowPunct w:val="0"/>
        <w:autoSpaceDE w:val="0"/>
        <w:autoSpaceDN w:val="0"/>
        <w:adjustRightInd w:val="0"/>
        <w:spacing w:after="60"/>
      </w:pPr>
      <w:hyperlink r:id="rId19" w:history="1">
        <w:r w:rsidR="00390EEA" w:rsidRPr="00390EEA">
          <w:rPr>
            <w:rStyle w:val="Hyperlink"/>
          </w:rPr>
          <w:t>R2-111714</w:t>
        </w:r>
      </w:hyperlink>
      <w:r w:rsidR="00390EEA" w:rsidRPr="00390EEA">
        <w:t>, LS on MDT configuration with user consent</w:t>
      </w:r>
    </w:p>
    <w:p w14:paraId="12FDEB5E" w14:textId="645FEEA1" w:rsidR="00390EEA" w:rsidRPr="00A209D6" w:rsidRDefault="00EA141D" w:rsidP="00E557DA">
      <w:pPr>
        <w:numPr>
          <w:ilvl w:val="0"/>
          <w:numId w:val="9"/>
        </w:numPr>
        <w:overflowPunct w:val="0"/>
        <w:autoSpaceDE w:val="0"/>
        <w:autoSpaceDN w:val="0"/>
        <w:adjustRightInd w:val="0"/>
      </w:pPr>
      <w:hyperlink r:id="rId20" w:history="1">
        <w:r w:rsidR="00390EEA" w:rsidRPr="00EA141D">
          <w:rPr>
            <w:rStyle w:val="Hyperlink"/>
          </w:rPr>
          <w:t>R2-200</w:t>
        </w:r>
        <w:r w:rsidR="00025624" w:rsidRPr="00EA141D">
          <w:rPr>
            <w:rStyle w:val="Hyperlink"/>
          </w:rPr>
          <w:t>9420</w:t>
        </w:r>
      </w:hyperlink>
      <w:r w:rsidR="00390EEA">
        <w:t>,</w:t>
      </w:r>
      <w:r w:rsidR="00023BB2">
        <w:t xml:space="preserve"> Draft r</w:t>
      </w:r>
      <w:r w:rsidR="00023BB2" w:rsidRPr="00023BB2">
        <w:t>eply LS on the user consent for trace re</w:t>
      </w:r>
      <w:bookmarkStart w:id="0" w:name="_GoBack"/>
      <w:bookmarkEnd w:id="0"/>
      <w:r w:rsidR="00023BB2" w:rsidRPr="00023BB2">
        <w:t>porting, Nokia</w:t>
      </w:r>
      <w:r w:rsidR="00023BB2">
        <w:rPr>
          <w:rFonts w:ascii="Arial" w:hAnsi="Arial" w:cs="Arial"/>
          <w:bCs/>
        </w:rPr>
        <w:t xml:space="preserve"> </w:t>
      </w:r>
    </w:p>
    <w:sectPr w:rsidR="00390EEA" w:rsidRPr="00A209D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0C3F6" w14:textId="77777777" w:rsidR="005F0877" w:rsidRDefault="005F0877">
      <w:r>
        <w:separator/>
      </w:r>
    </w:p>
  </w:endnote>
  <w:endnote w:type="continuationSeparator" w:id="0">
    <w:p w14:paraId="7916CEED" w14:textId="77777777" w:rsidR="005F0877" w:rsidRDefault="005F0877">
      <w:r>
        <w:continuationSeparator/>
      </w:r>
    </w:p>
  </w:endnote>
  <w:endnote w:type="continuationNotice" w:id="1">
    <w:p w14:paraId="4925FAF7" w14:textId="77777777" w:rsidR="005F0877" w:rsidRDefault="005F0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158B7" w:rsidRDefault="007158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158B7" w:rsidRDefault="007158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158B7" w:rsidRDefault="00715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A0E32" w14:textId="77777777" w:rsidR="005F0877" w:rsidRDefault="005F0877">
      <w:r>
        <w:separator/>
      </w:r>
    </w:p>
  </w:footnote>
  <w:footnote w:type="continuationSeparator" w:id="0">
    <w:p w14:paraId="20D69A1F" w14:textId="77777777" w:rsidR="005F0877" w:rsidRDefault="005F0877">
      <w:r>
        <w:continuationSeparator/>
      </w:r>
    </w:p>
  </w:footnote>
  <w:footnote w:type="continuationNotice" w:id="1">
    <w:p w14:paraId="24467FDA" w14:textId="77777777" w:rsidR="005F0877" w:rsidRDefault="005F08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158B7" w:rsidRDefault="007158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158B7" w:rsidRDefault="00715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158B7" w:rsidRDefault="00715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10698A"/>
    <w:multiLevelType w:val="hybridMultilevel"/>
    <w:tmpl w:val="F95036FA"/>
    <w:lvl w:ilvl="0" w:tplc="EC5C46F0">
      <w:start w:val="1"/>
      <w:numFmt w:val="lowerLetter"/>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3" w15:restartNumberingAfterBreak="0">
    <w:nsid w:val="14D6027E"/>
    <w:multiLevelType w:val="hybridMultilevel"/>
    <w:tmpl w:val="FAAC49C8"/>
    <w:lvl w:ilvl="0" w:tplc="BD0276AA">
      <w:start w:val="1"/>
      <w:numFmt w:val="bullet"/>
      <w:lvlText w:val="-"/>
      <w:lvlJc w:val="left"/>
      <w:pPr>
        <w:ind w:left="720" w:hanging="360"/>
      </w:pPr>
      <w:rPr>
        <w:rFonts w:ascii="Arial" w:eastAsia="MS Mincho" w:hAnsi="Arial" w:cs="Aria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37C3F09"/>
    <w:multiLevelType w:val="hybridMultilevel"/>
    <w:tmpl w:val="1EA62184"/>
    <w:lvl w:ilvl="0" w:tplc="6334231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B9C6CCC"/>
    <w:multiLevelType w:val="hybridMultilevel"/>
    <w:tmpl w:val="3050F6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7837179D"/>
    <w:multiLevelType w:val="hybridMultilevel"/>
    <w:tmpl w:val="C13821E0"/>
    <w:lvl w:ilvl="0" w:tplc="6EB8E50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BB2"/>
    <w:rsid w:val="00023C40"/>
    <w:rsid w:val="00025624"/>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B32AD"/>
    <w:rsid w:val="002F0D22"/>
    <w:rsid w:val="00311B17"/>
    <w:rsid w:val="003172DC"/>
    <w:rsid w:val="00325AE3"/>
    <w:rsid w:val="00326069"/>
    <w:rsid w:val="0035462D"/>
    <w:rsid w:val="0036459E"/>
    <w:rsid w:val="00364B41"/>
    <w:rsid w:val="00383096"/>
    <w:rsid w:val="00390EEA"/>
    <w:rsid w:val="0039346C"/>
    <w:rsid w:val="003A41EF"/>
    <w:rsid w:val="003B40AD"/>
    <w:rsid w:val="003C4E37"/>
    <w:rsid w:val="003E16BE"/>
    <w:rsid w:val="003F4E28"/>
    <w:rsid w:val="004006E8"/>
    <w:rsid w:val="00401855"/>
    <w:rsid w:val="00401FE8"/>
    <w:rsid w:val="00464A9B"/>
    <w:rsid w:val="00465587"/>
    <w:rsid w:val="00477455"/>
    <w:rsid w:val="004A1F7B"/>
    <w:rsid w:val="004C44D2"/>
    <w:rsid w:val="004D1566"/>
    <w:rsid w:val="004D3578"/>
    <w:rsid w:val="004D380D"/>
    <w:rsid w:val="004E213A"/>
    <w:rsid w:val="00503171"/>
    <w:rsid w:val="00506C28"/>
    <w:rsid w:val="00534DA0"/>
    <w:rsid w:val="00543E6C"/>
    <w:rsid w:val="00565087"/>
    <w:rsid w:val="0056573F"/>
    <w:rsid w:val="00571279"/>
    <w:rsid w:val="005A49C6"/>
    <w:rsid w:val="005F0877"/>
    <w:rsid w:val="00611566"/>
    <w:rsid w:val="00646D99"/>
    <w:rsid w:val="00656910"/>
    <w:rsid w:val="006574C0"/>
    <w:rsid w:val="00696821"/>
    <w:rsid w:val="006C66D8"/>
    <w:rsid w:val="006D1E24"/>
    <w:rsid w:val="006D35DE"/>
    <w:rsid w:val="006E1417"/>
    <w:rsid w:val="006F6A2C"/>
    <w:rsid w:val="007069DC"/>
    <w:rsid w:val="00710201"/>
    <w:rsid w:val="007158B7"/>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5AF"/>
    <w:rsid w:val="00A22738"/>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6553E"/>
    <w:rsid w:val="00C83A13"/>
    <w:rsid w:val="00C9068C"/>
    <w:rsid w:val="00C92967"/>
    <w:rsid w:val="00CA3D0C"/>
    <w:rsid w:val="00CA654B"/>
    <w:rsid w:val="00CB72B8"/>
    <w:rsid w:val="00CD4C7B"/>
    <w:rsid w:val="00CD58FE"/>
    <w:rsid w:val="00CD7EFC"/>
    <w:rsid w:val="00CF38F5"/>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6A98"/>
    <w:rsid w:val="00DE25D2"/>
    <w:rsid w:val="00E46C08"/>
    <w:rsid w:val="00E471CF"/>
    <w:rsid w:val="00E62835"/>
    <w:rsid w:val="00E77645"/>
    <w:rsid w:val="00E83697"/>
    <w:rsid w:val="00EA141D"/>
    <w:rsid w:val="00EA66C9"/>
    <w:rsid w:val="00EC4A25"/>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C3E8E15-E81B-4424-AFB8-F267D030A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390EEA"/>
    <w:pPr>
      <w:ind w:left="720"/>
      <w:contextualSpacing/>
    </w:pPr>
  </w:style>
  <w:style w:type="character" w:styleId="FollowedHyperlink">
    <w:name w:val="FollowedHyperlink"/>
    <w:basedOn w:val="DefaultParagraphFont"/>
    <w:rsid w:val="00390EEA"/>
    <w:rPr>
      <w:color w:val="954F72" w:themeColor="followedHyperlink"/>
      <w:u w:val="single"/>
    </w:rPr>
  </w:style>
  <w:style w:type="character" w:customStyle="1" w:styleId="THChar">
    <w:name w:val="TH Char"/>
    <w:link w:val="TH"/>
    <w:rsid w:val="00390EEA"/>
    <w:rPr>
      <w:rFonts w:ascii="Arial" w:hAnsi="Arial"/>
      <w:b/>
      <w:lang w:eastAsia="en-US"/>
    </w:rPr>
  </w:style>
  <w:style w:type="character" w:customStyle="1" w:styleId="TFZchn">
    <w:name w:val="TF Zchn"/>
    <w:link w:val="TF"/>
    <w:rsid w:val="00390EE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697854">
      <w:bodyDiv w:val="1"/>
      <w:marLeft w:val="0"/>
      <w:marRight w:val="0"/>
      <w:marTop w:val="0"/>
      <w:marBottom w:val="0"/>
      <w:divBdr>
        <w:top w:val="none" w:sz="0" w:space="0" w:color="auto"/>
        <w:left w:val="none" w:sz="0" w:space="0" w:color="auto"/>
        <w:bottom w:val="none" w:sz="0" w:space="0" w:color="auto"/>
        <w:right w:val="none" w:sz="0" w:space="0" w:color="auto"/>
      </w:divBdr>
    </w:div>
    <w:div w:id="8451752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387022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8083463">
      <w:bodyDiv w:val="1"/>
      <w:marLeft w:val="0"/>
      <w:marRight w:val="0"/>
      <w:marTop w:val="0"/>
      <w:marBottom w:val="0"/>
      <w:divBdr>
        <w:top w:val="none" w:sz="0" w:space="0" w:color="auto"/>
        <w:left w:val="none" w:sz="0" w:space="0" w:color="auto"/>
        <w:bottom w:val="none" w:sz="0" w:space="0" w:color="auto"/>
        <w:right w:val="none" w:sz="0" w:space="0" w:color="auto"/>
      </w:divBdr>
    </w:div>
    <w:div w:id="1888953691">
      <w:bodyDiv w:val="1"/>
      <w:marLeft w:val="0"/>
      <w:marRight w:val="0"/>
      <w:marTop w:val="0"/>
      <w:marBottom w:val="0"/>
      <w:divBdr>
        <w:top w:val="none" w:sz="0" w:space="0" w:color="auto"/>
        <w:left w:val="none" w:sz="0" w:space="0" w:color="auto"/>
        <w:bottom w:val="none" w:sz="0" w:space="0" w:color="auto"/>
        <w:right w:val="none" w:sz="0" w:space="0" w:color="auto"/>
      </w:divBdr>
    </w:div>
    <w:div w:id="1907716657">
      <w:bodyDiv w:val="1"/>
      <w:marLeft w:val="0"/>
      <w:marRight w:val="0"/>
      <w:marTop w:val="0"/>
      <w:marBottom w:val="0"/>
      <w:divBdr>
        <w:top w:val="none" w:sz="0" w:space="0" w:color="auto"/>
        <w:left w:val="none" w:sz="0" w:space="0" w:color="auto"/>
        <w:bottom w:val="none" w:sz="0" w:space="0" w:color="auto"/>
        <w:right w:val="none" w:sz="0" w:space="0" w:color="auto"/>
      </w:divBdr>
    </w:div>
    <w:div w:id="211670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yperlink" Target="http://3gpp.org/ftp/tsg_ran/WG3_Iu/TSGR3_71/Docs/R3-110931.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www.3gpp.org/ftp/tsg_sa/WG3_Security/TSGS3_62_Ljubljana/Docs/S3-110185.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3gpp.org/ftp/tsg_sa/WG1_Serv/TSGS1_53_Nashville/docs/S1-110172.zip" TargetMode="External"/><Relationship Id="rId20" Type="http://schemas.openxmlformats.org/officeDocument/2006/relationships/hyperlink" Target="https://www.3gpp.org/ftp/tsg_ran/WG2_RL2/TSGR2_112-e/Docs/R2-200942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sa/WG5_TM/TSGS5_132e/Docs/S5-204542.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3gpp.org/ftp/tsg_ran/WG2_RL2/TSGR2_73/Docs/R2-11171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9bis-e/Inbox/R2-2006372.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5AIRPNAIUNRU-1774131100-1667</_dlc_DocId>
    <_dlc_DocIdUrl xmlns="71c5aaf6-e6ce-465b-b873-5148d2a4c105">
      <Url>https://nokia.sharepoint.com/sites/c5g/projects/nas/_layouts/15/DocIdRedir.aspx?ID=5AIRPNAIUNRU-1774131100-1667</Url>
      <Description>5AIRPNAIUNRU-1774131100-1667</Description>
    </_dlc_DocIdUrl>
    <_Flow_SignoffStatus xmlns="6d0092ff-228e-48cb-9ef6-dbafe0d3bded"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33CEA03-0B7C-4A88-B5FA-33E2D52DB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1356</Words>
  <Characters>7867</Characters>
  <Application>Microsoft Office Word</Application>
  <DocSecurity>0</DocSecurity>
  <Lines>167</Lines>
  <Paragraphs>148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9075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4</cp:revision>
  <dcterms:created xsi:type="dcterms:W3CDTF">2020-10-22T09:16:00Z</dcterms:created>
  <dcterms:modified xsi:type="dcterms:W3CDTF">2020-10-22T14:04:00Z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7223a028-64b0-4e9d-9fe6-cf8205e587ff</vt:lpwstr>
  </property>
</Properties>
</file>